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0792" w14:textId="77777777" w:rsidR="00CF3112" w:rsidRPr="00311CE6" w:rsidRDefault="00CF3112" w:rsidP="00CF3112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УТВЕРЖДЕНА</w:t>
      </w:r>
    </w:p>
    <w:p w14:paraId="4397771B" w14:textId="77777777" w:rsidR="00CF3112" w:rsidRPr="00311CE6" w:rsidRDefault="00CF3112" w:rsidP="00CF311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Приказом Председателя</w:t>
      </w:r>
    </w:p>
    <w:p w14:paraId="24C12572" w14:textId="77777777" w:rsidR="00CF3112" w:rsidRPr="00311CE6" w:rsidRDefault="00CF3112" w:rsidP="00CF311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РГУ «Комитета медицинского и</w:t>
      </w:r>
    </w:p>
    <w:p w14:paraId="20C649B4" w14:textId="77777777" w:rsidR="00CF3112" w:rsidRPr="00311CE6" w:rsidRDefault="00CF3112" w:rsidP="00CF311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фармацевтического контроля»</w:t>
      </w:r>
    </w:p>
    <w:p w14:paraId="72063636" w14:textId="77777777" w:rsidR="00CF3112" w:rsidRPr="00311CE6" w:rsidRDefault="00CF3112" w:rsidP="00CF311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</w:t>
      </w:r>
    </w:p>
    <w:p w14:paraId="735A9BD1" w14:textId="77777777" w:rsidR="00CF3112" w:rsidRPr="00311CE6" w:rsidRDefault="00CF3112" w:rsidP="00CF311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</w:t>
      </w:r>
    </w:p>
    <w:p w14:paraId="761897D6" w14:textId="77777777" w:rsidR="00CF3112" w:rsidRPr="00311CE6" w:rsidRDefault="00CF3112" w:rsidP="00CF311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от «____» _________ 202__ г.</w:t>
      </w:r>
    </w:p>
    <w:p w14:paraId="2885D0C6" w14:textId="77777777" w:rsidR="00CF3112" w:rsidRPr="00311CE6" w:rsidRDefault="00CF3112" w:rsidP="00CF311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№________</w:t>
      </w:r>
    </w:p>
    <w:p w14:paraId="30A7024A" w14:textId="77777777" w:rsidR="00CF3112" w:rsidRPr="00311CE6" w:rsidRDefault="00CF3112" w:rsidP="00CF3112">
      <w:pPr>
        <w:tabs>
          <w:tab w:val="left" w:pos="4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3D45447" w14:textId="77777777" w:rsidR="00286BD2" w:rsidRPr="00311CE6" w:rsidRDefault="00286BD2" w:rsidP="00D64C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>Инструкция по медицинскому применению</w:t>
      </w:r>
    </w:p>
    <w:p w14:paraId="7A976253" w14:textId="77777777" w:rsidR="002C7F18" w:rsidRPr="00311CE6" w:rsidRDefault="00286BD2" w:rsidP="002C7F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>лекарственного средства</w:t>
      </w:r>
      <w:r w:rsidR="006739AB" w:rsidRPr="00311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FD2D64" w:rsidRPr="00311CE6">
        <w:rPr>
          <w:rFonts w:ascii="Times New Roman" w:hAnsi="Times New Roman" w:cs="Times New Roman"/>
          <w:b/>
          <w:color w:val="000000"/>
          <w:sz w:val="28"/>
          <w:szCs w:val="28"/>
        </w:rPr>
        <w:t>Листок-</w:t>
      </w:r>
      <w:r w:rsidR="006739AB" w:rsidRPr="00311CE6">
        <w:rPr>
          <w:rFonts w:ascii="Times New Roman" w:hAnsi="Times New Roman" w:cs="Times New Roman"/>
          <w:b/>
          <w:color w:val="000000"/>
          <w:sz w:val="28"/>
          <w:szCs w:val="28"/>
        </w:rPr>
        <w:t>вкладыш)</w:t>
      </w:r>
    </w:p>
    <w:p w14:paraId="5C9B51E4" w14:textId="286F7C4D" w:rsidR="002C7F18" w:rsidRPr="00311CE6" w:rsidRDefault="002C7F18" w:rsidP="002C7F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52BC5F" w14:textId="1CA40D34" w:rsidR="00286BD2" w:rsidRPr="00311CE6" w:rsidRDefault="00286BD2" w:rsidP="002C7F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Торговое </w:t>
      </w:r>
      <w:r w:rsidR="00F86C2E"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наименование</w:t>
      </w:r>
    </w:p>
    <w:p w14:paraId="3C1184BE" w14:textId="77777777" w:rsidR="007E6BCB" w:rsidRPr="00311CE6" w:rsidRDefault="00D559C9" w:rsidP="0013448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>Рот</w:t>
      </w:r>
      <w:proofErr w:type="spellStart"/>
      <w:r w:rsidR="00DE2F58" w:rsidRPr="00311C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>вирусная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7F2"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вакцина </w:t>
      </w:r>
      <w:r w:rsidR="006B0511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живая </w:t>
      </w:r>
      <w:proofErr w:type="spellStart"/>
      <w:r w:rsidR="006B0511" w:rsidRPr="00311CE6">
        <w:rPr>
          <w:rFonts w:ascii="Times New Roman" w:hAnsi="Times New Roman" w:cs="Times New Roman"/>
          <w:color w:val="000000"/>
          <w:sz w:val="28"/>
          <w:szCs w:val="28"/>
        </w:rPr>
        <w:t>аттенуированная</w:t>
      </w:r>
      <w:proofErr w:type="spellEnd"/>
    </w:p>
    <w:p w14:paraId="071E4D29" w14:textId="77777777" w:rsidR="00D559C9" w:rsidRPr="00311CE6" w:rsidRDefault="00D559C9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082D318" w14:textId="77777777" w:rsidR="00286BD2" w:rsidRPr="00311CE6" w:rsidRDefault="00286BD2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Международное непатентованное название </w:t>
      </w:r>
    </w:p>
    <w:p w14:paraId="25E91836" w14:textId="77777777" w:rsidR="00286BD2" w:rsidRPr="00311CE6" w:rsidRDefault="00286BD2" w:rsidP="00E2419C">
      <w:pPr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Нет</w:t>
      </w:r>
    </w:p>
    <w:p w14:paraId="7A5296F2" w14:textId="77777777" w:rsidR="00286BD2" w:rsidRPr="00311CE6" w:rsidRDefault="00286BD2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75BF1E" w14:textId="77777777" w:rsidR="00286BD2" w:rsidRPr="00311CE6" w:rsidRDefault="00286BD2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Лекарственная форма</w:t>
      </w:r>
    </w:p>
    <w:p w14:paraId="3931CFD2" w14:textId="001F91DC" w:rsidR="00003669" w:rsidRPr="00311CE6" w:rsidRDefault="00003669" w:rsidP="005625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>иофилизат для приготовления раствора для приема внутрь</w:t>
      </w:r>
      <w:r w:rsidR="00397BBD"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>, 2.5</w:t>
      </w:r>
      <w:r w:rsidR="005625F3"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7BBD"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>мл/флакон, 5 мл/флакон</w:t>
      </w:r>
    </w:p>
    <w:p w14:paraId="46FE70AC" w14:textId="77777777" w:rsidR="00003669" w:rsidRPr="00311CE6" w:rsidRDefault="00003669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A3557F8" w14:textId="77777777" w:rsidR="00286BD2" w:rsidRPr="00311CE6" w:rsidRDefault="00286BD2" w:rsidP="00E241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Фармакотерапевтическая группа </w:t>
      </w:r>
    </w:p>
    <w:p w14:paraId="52F915E3" w14:textId="49BA560F" w:rsidR="00286BD2" w:rsidRPr="00311CE6" w:rsidRDefault="005A44AD" w:rsidP="00684F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Противоинфекционные препараты для системного использования. Вакцины. Вакцины вирусные. Вакцины против ротавирусной диареи. Ротавирус, пентавалентный, живой, реассортированный</w:t>
      </w:r>
      <w:bookmarkStart w:id="0" w:name="_Hlk52372052"/>
      <w:r w:rsidRPr="00311CE6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br/>
      </w:r>
      <w:r w:rsidR="00286BD2" w:rsidRPr="00311CE6">
        <w:rPr>
          <w:rFonts w:ascii="Times New Roman" w:hAnsi="Times New Roman" w:cs="Times New Roman"/>
          <w:color w:val="000000"/>
          <w:sz w:val="28"/>
          <w:szCs w:val="28"/>
        </w:rPr>
        <w:t>Код АТ</w:t>
      </w:r>
      <w:r w:rsidR="00286BD2" w:rsidRPr="00311CE6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286BD2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J07BH0</w:t>
      </w:r>
      <w:r w:rsidR="005625F3" w:rsidRPr="00311CE6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bookmarkEnd w:id="0"/>
    <w:p w14:paraId="38C999E7" w14:textId="77777777" w:rsidR="00F86C2E" w:rsidRPr="00311CE6" w:rsidRDefault="00F86C2E" w:rsidP="00684F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21719" w14:textId="77777777" w:rsidR="00286BD2" w:rsidRPr="00311CE6" w:rsidRDefault="00286BD2" w:rsidP="00E64F40">
      <w:pPr>
        <w:ind w:left="180" w:right="-1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Показания к применению</w:t>
      </w:r>
    </w:p>
    <w:p w14:paraId="1BDCEE4E" w14:textId="78C41904" w:rsidR="00286BD2" w:rsidRPr="00311CE6" w:rsidRDefault="00286BD2" w:rsidP="00E64F40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E3C24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активная иммунизация </w:t>
      </w:r>
      <w:r w:rsidR="003D670B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здоровых </w:t>
      </w:r>
      <w:r w:rsidR="001C1BB9" w:rsidRPr="00311CE6">
        <w:rPr>
          <w:rFonts w:ascii="Times New Roman" w:hAnsi="Times New Roman" w:cs="Times New Roman"/>
          <w:color w:val="000000"/>
          <w:sz w:val="28"/>
          <w:szCs w:val="28"/>
        </w:rPr>
        <w:t>младенцев</w:t>
      </w:r>
      <w:r w:rsidR="003D670B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с 6 недель жизни </w:t>
      </w:r>
      <w:r w:rsidR="000E3C24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для профилактики 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гастроэнтерита </w:t>
      </w:r>
      <w:r w:rsidR="003D670B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из-за 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ротавирусной инфекции </w:t>
      </w:r>
      <w:r w:rsidR="003D670B" w:rsidRPr="00311CE6">
        <w:rPr>
          <w:rFonts w:ascii="Times New Roman" w:hAnsi="Times New Roman" w:cs="Times New Roman"/>
          <w:color w:val="000000"/>
          <w:sz w:val="28"/>
          <w:szCs w:val="28"/>
        </w:rPr>
        <w:t>с серией из 3 доз</w:t>
      </w:r>
      <w:r w:rsidR="00A516DE" w:rsidRPr="00311C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AEE01C" w14:textId="77777777" w:rsidR="00286BD2" w:rsidRPr="00311CE6" w:rsidRDefault="00286BD2" w:rsidP="00E64F40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D84760" w14:textId="77777777" w:rsidR="00593B70" w:rsidRPr="00311CE6" w:rsidRDefault="00593B70" w:rsidP="00593B7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>Перечень сведений, необходимых до начала применения</w:t>
      </w:r>
    </w:p>
    <w:p w14:paraId="2436E001" w14:textId="77777777" w:rsidR="00A516DE" w:rsidRPr="00311CE6" w:rsidRDefault="00593B70" w:rsidP="00593B7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Противопоказания</w:t>
      </w:r>
    </w:p>
    <w:p w14:paraId="683C4DB1" w14:textId="77777777" w:rsidR="00A516DE" w:rsidRPr="00311CE6" w:rsidRDefault="00A516DE" w:rsidP="00A516DE">
      <w:pPr>
        <w:ind w:left="284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гиперчувствительность к активному веществу или любому из компонентов вакцины </w:t>
      </w:r>
    </w:p>
    <w:p w14:paraId="6C7D7C81" w14:textId="77777777" w:rsidR="00A516DE" w:rsidRPr="00311CE6" w:rsidRDefault="00A516DE" w:rsidP="00A516DE">
      <w:pPr>
        <w:ind w:left="284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известная гиперчувствительность после предыдущего применения вакцин для профилактики ротавирусной инфекции </w:t>
      </w:r>
    </w:p>
    <w:p w14:paraId="251E4EB6" w14:textId="77777777" w:rsidR="00A516DE" w:rsidRPr="00311CE6" w:rsidRDefault="00A516DE" w:rsidP="00A516DE">
      <w:pPr>
        <w:ind w:left="284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>инвагинация кишечника (кишечная непроходимость) в анамнезе</w:t>
      </w:r>
    </w:p>
    <w:p w14:paraId="16BE5AAF" w14:textId="058CC8AE" w:rsidR="00A516DE" w:rsidRPr="00311CE6" w:rsidRDefault="00A516DE" w:rsidP="00A516DE">
      <w:pPr>
        <w:ind w:left="284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</w:rPr>
        <w:t>неоперированный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врожденный порок желудочно-кишечного тракта, что может вызвать его непроходимость</w:t>
      </w:r>
    </w:p>
    <w:p w14:paraId="1FA9B8C1" w14:textId="77777777" w:rsidR="00A516DE" w:rsidRPr="00311CE6" w:rsidRDefault="00A516DE" w:rsidP="00A516DE">
      <w:p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>дети с выраженным синдромом комбинированного иммунодефицита</w:t>
      </w:r>
    </w:p>
    <w:p w14:paraId="15C610D0" w14:textId="1A75B7F6" w:rsidR="00F968E8" w:rsidRPr="00311CE6" w:rsidRDefault="00F968E8" w:rsidP="00A516DE">
      <w:pPr>
        <w:autoSpaceDE/>
        <w:autoSpaceDN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11F1895" w14:textId="77777777" w:rsidR="00CF3112" w:rsidRPr="00311CE6" w:rsidRDefault="00CF3112" w:rsidP="00A516DE">
      <w:pPr>
        <w:autoSpaceDE/>
        <w:autoSpaceDN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D217B09" w14:textId="626347CB" w:rsidR="00A516DE" w:rsidRPr="00311CE6" w:rsidRDefault="00A516DE" w:rsidP="00A516DE">
      <w:pPr>
        <w:autoSpaceDE/>
        <w:autoSpaceDN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Необходимые меры предосторожности при применении</w:t>
      </w:r>
    </w:p>
    <w:p w14:paraId="41538E52" w14:textId="0E4695CF" w:rsidR="00F968E8" w:rsidRPr="00E03A7F" w:rsidRDefault="00E478A4" w:rsidP="00E03A7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Hlk52371627"/>
      <w:r w:rsidRPr="00311CE6">
        <w:rPr>
          <w:rFonts w:ascii="Times New Roman" w:hAnsi="Times New Roman" w:cs="Times New Roman"/>
          <w:color w:val="000000"/>
          <w:sz w:val="28"/>
        </w:rPr>
        <w:t>В качестве меры предосторожности, медицинские работники должны проводить осмотр на предмет наличия симптомов кишечной проходимости (сильная боль в животе, непрекращающаяся рвота, кровянистый стул, вздутие живота и/или сильная лихорадка</w:t>
      </w:r>
      <w:r w:rsidR="005625F3" w:rsidRPr="00311CE6">
        <w:rPr>
          <w:rFonts w:ascii="Times New Roman" w:hAnsi="Times New Roman" w:cs="Times New Roman"/>
          <w:color w:val="000000"/>
          <w:sz w:val="28"/>
        </w:rPr>
        <w:t>)</w:t>
      </w:r>
      <w:r w:rsidRPr="00311CE6">
        <w:rPr>
          <w:rFonts w:ascii="Times New Roman" w:hAnsi="Times New Roman" w:cs="Times New Roman"/>
          <w:color w:val="000000"/>
          <w:sz w:val="28"/>
        </w:rPr>
        <w:t xml:space="preserve">, поскольку </w:t>
      </w:r>
      <w:r w:rsidR="005625F3" w:rsidRPr="00311CE6">
        <w:rPr>
          <w:rFonts w:ascii="Times New Roman" w:hAnsi="Times New Roman" w:cs="Times New Roman"/>
          <w:color w:val="000000"/>
          <w:sz w:val="28"/>
        </w:rPr>
        <w:t xml:space="preserve">опубликованные </w:t>
      </w:r>
      <w:r w:rsidRPr="00311CE6">
        <w:rPr>
          <w:rFonts w:ascii="Times New Roman" w:hAnsi="Times New Roman" w:cs="Times New Roman"/>
          <w:color w:val="000000"/>
          <w:sz w:val="28"/>
        </w:rPr>
        <w:t xml:space="preserve">данные </w:t>
      </w:r>
      <w:r w:rsidR="005625F3" w:rsidRPr="00311CE6">
        <w:rPr>
          <w:rFonts w:ascii="Times New Roman" w:hAnsi="Times New Roman" w:cs="Times New Roman"/>
          <w:color w:val="000000"/>
          <w:sz w:val="28"/>
        </w:rPr>
        <w:t xml:space="preserve">других живых ротавирусных вакцин для приема внутрь </w:t>
      </w:r>
      <w:r w:rsidRPr="00311CE6">
        <w:rPr>
          <w:rFonts w:ascii="Times New Roman" w:hAnsi="Times New Roman" w:cs="Times New Roman"/>
          <w:color w:val="000000"/>
          <w:sz w:val="28"/>
        </w:rPr>
        <w:t xml:space="preserve">свидетельствуют о небольшом увеличении частоты возникновения </w:t>
      </w:r>
      <w:r w:rsidR="00482ACB" w:rsidRPr="00311CE6">
        <w:rPr>
          <w:rFonts w:ascii="Times New Roman" w:hAnsi="Times New Roman" w:cs="Times New Roman"/>
          <w:color w:val="000000"/>
          <w:sz w:val="28"/>
        </w:rPr>
        <w:t xml:space="preserve">инвагинации </w:t>
      </w:r>
      <w:r w:rsidRPr="00311CE6">
        <w:rPr>
          <w:rFonts w:ascii="Times New Roman" w:hAnsi="Times New Roman" w:cs="Times New Roman"/>
          <w:color w:val="000000"/>
          <w:sz w:val="28"/>
        </w:rPr>
        <w:t>в 31-дневный период (преимущественно в течение 7 дней) после введения первой дозы вакцины. Родители/опекуны должны быть проинформированы о необходимости незамедлительного сообщения о таких симптомах своему лечащему врачу.</w:t>
      </w:r>
      <w:bookmarkEnd w:id="1"/>
    </w:p>
    <w:p w14:paraId="17B5F468" w14:textId="6A7FBBC6" w:rsidR="00A516DE" w:rsidRPr="00311CE6" w:rsidRDefault="00A516DE" w:rsidP="00A516DE">
      <w:pPr>
        <w:autoSpaceDE/>
        <w:autoSpaceDN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Взаимодействия с другими лекарственными препаратами</w:t>
      </w:r>
    </w:p>
    <w:p w14:paraId="1956B945" w14:textId="6F74056A" w:rsidR="00F968E8" w:rsidRPr="00E03A7F" w:rsidRDefault="004324F9" w:rsidP="00E03A7F">
      <w:pPr>
        <w:widowControl w:val="0"/>
        <w:tabs>
          <w:tab w:val="left" w:pos="588"/>
        </w:tabs>
        <w:autoSpaceDE/>
        <w:autoSpaceDN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bookmarkStart w:id="2" w:name="2175220271"/>
      <w:proofErr w:type="spellStart"/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Иммуносупрессивная</w:t>
      </w:r>
      <w:proofErr w:type="spellEnd"/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терапия, включая облучение, антиметаболиты, </w:t>
      </w:r>
      <w:proofErr w:type="spellStart"/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алкилирующие</w:t>
      </w:r>
      <w:proofErr w:type="spellEnd"/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агенты, цитотоксические препараты и кортикостероиды (</w:t>
      </w:r>
      <w:r w:rsidR="00E6471D" w:rsidRPr="00311CE6">
        <w:rPr>
          <w:rFonts w:ascii="Times New Roman" w:hAnsi="Times New Roman" w:cs="Times New Roman"/>
          <w:bCs/>
          <w:color w:val="000000"/>
          <w:sz w:val="28"/>
          <w:szCs w:val="28"/>
          <w:lang w:val="kk-KZ" w:eastAsia="en-US"/>
        </w:rPr>
        <w:t>превышающие</w:t>
      </w:r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минимальны</w:t>
      </w:r>
      <w:r w:rsidR="00E6471D" w:rsidRPr="00311CE6">
        <w:rPr>
          <w:rFonts w:ascii="Times New Roman" w:hAnsi="Times New Roman" w:cs="Times New Roman"/>
          <w:bCs/>
          <w:color w:val="000000"/>
          <w:sz w:val="28"/>
          <w:szCs w:val="28"/>
          <w:lang w:val="kk-KZ" w:eastAsia="en-US"/>
        </w:rPr>
        <w:t>е</w:t>
      </w:r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доз</w:t>
      </w:r>
      <w:r w:rsidR="00E6471D" w:rsidRPr="00311CE6">
        <w:rPr>
          <w:rFonts w:ascii="Times New Roman" w:hAnsi="Times New Roman" w:cs="Times New Roman"/>
          <w:bCs/>
          <w:color w:val="000000"/>
          <w:sz w:val="28"/>
          <w:szCs w:val="28"/>
          <w:lang w:val="kk-KZ" w:eastAsia="en-US"/>
        </w:rPr>
        <w:t>ы</w:t>
      </w:r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), способны снизить иммунный ответ на вакцину. Вакцина может вводиться одновременно с другими вакцинами по программе иммунизации </w:t>
      </w:r>
      <w:r w:rsidR="00E6471D" w:rsidRPr="00311CE6">
        <w:rPr>
          <w:rFonts w:ascii="Times New Roman" w:hAnsi="Times New Roman" w:cs="Times New Roman"/>
          <w:bCs/>
          <w:color w:val="000000"/>
          <w:sz w:val="28"/>
          <w:szCs w:val="28"/>
          <w:lang w:val="kk-KZ" w:eastAsia="en-US"/>
        </w:rPr>
        <w:t>младенцев</w:t>
      </w:r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, включая комбинированную вакцину для профилактики дифтерии, столбняка и коклюша (АКДС), инактивированная вакцина для профилактики полиомиелита 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(IPV), </w:t>
      </w:r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пероральную </w:t>
      </w:r>
      <w:proofErr w:type="spellStart"/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полиовакцину</w:t>
      </w:r>
      <w:proofErr w:type="spellEnd"/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(OPV), </w:t>
      </w:r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вакциной от гемофильной палочки типа В (</w:t>
      </w:r>
      <w:proofErr w:type="spellStart"/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Hib</w:t>
      </w:r>
      <w:proofErr w:type="spellEnd"/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) и вакциной от гепатита В. Исследования взаимодействия с ротавирусной вакциной, живой </w:t>
      </w:r>
      <w:proofErr w:type="spellStart"/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аттенуированной</w:t>
      </w:r>
      <w:proofErr w:type="spellEnd"/>
      <w:r w:rsidRPr="00311CE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у младенцев с другими лекарственными средствами не проводились. </w:t>
      </w:r>
      <w:bookmarkEnd w:id="2"/>
    </w:p>
    <w:p w14:paraId="09FC691D" w14:textId="3D87AF23" w:rsidR="00A516DE" w:rsidRPr="00311CE6" w:rsidRDefault="00A516DE" w:rsidP="00A516DE">
      <w:pPr>
        <w:autoSpaceDE/>
        <w:autoSpaceDN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Специальные предупреждения</w:t>
      </w:r>
    </w:p>
    <w:p w14:paraId="33594505" w14:textId="08F02776" w:rsidR="004324F9" w:rsidRPr="00311CE6" w:rsidRDefault="004324F9" w:rsidP="004324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52371695"/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безопасности и эффективности ротавирусной вакцины, живой 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</w:rPr>
        <w:t>аттенуированной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3D670B" w:rsidRPr="00311CE6">
        <w:rPr>
          <w:rFonts w:ascii="Times New Roman" w:hAnsi="Times New Roman" w:cs="Times New Roman"/>
          <w:color w:val="000000"/>
          <w:sz w:val="28"/>
          <w:szCs w:val="28"/>
        </w:rPr>
        <w:t>младенцев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с ослабленным иммунитетом, </w:t>
      </w:r>
      <w:r w:rsidR="003D670B" w:rsidRPr="00311CE6">
        <w:rPr>
          <w:rFonts w:ascii="Times New Roman" w:hAnsi="Times New Roman" w:cs="Times New Roman"/>
          <w:color w:val="000000"/>
          <w:sz w:val="28"/>
          <w:szCs w:val="28"/>
        </w:rPr>
        <w:t>младенцев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с ВИЧ, или </w:t>
      </w:r>
      <w:r w:rsidR="003D670B" w:rsidRPr="00311CE6">
        <w:rPr>
          <w:rFonts w:ascii="Times New Roman" w:hAnsi="Times New Roman" w:cs="Times New Roman"/>
          <w:color w:val="000000"/>
          <w:sz w:val="28"/>
          <w:szCs w:val="28"/>
        </w:rPr>
        <w:t>младенцев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с хроническим гастроэнтеритом отсутствует.</w:t>
      </w:r>
    </w:p>
    <w:p w14:paraId="02B98F3C" w14:textId="3F82A557" w:rsidR="004324F9" w:rsidRPr="00311CE6" w:rsidRDefault="004324F9" w:rsidP="004324F9">
      <w:pPr>
        <w:pStyle w:val="11"/>
        <w:tabs>
          <w:tab w:val="left" w:pos="588"/>
        </w:tabs>
        <w:spacing w:before="1"/>
        <w:ind w:left="0" w:firstLine="0"/>
        <w:jc w:val="both"/>
        <w:rPr>
          <w:b w:val="0"/>
          <w:color w:val="000000"/>
          <w:sz w:val="28"/>
          <w:szCs w:val="28"/>
          <w:lang w:val="ru-RU"/>
        </w:rPr>
      </w:pPr>
      <w:r w:rsidRPr="00311CE6">
        <w:rPr>
          <w:b w:val="0"/>
          <w:color w:val="000000"/>
          <w:sz w:val="28"/>
          <w:szCs w:val="28"/>
          <w:lang w:val="ru-RU"/>
        </w:rPr>
        <w:t xml:space="preserve">Введение ротавирусной вакцины, живой </w:t>
      </w:r>
      <w:proofErr w:type="spellStart"/>
      <w:r w:rsidRPr="00311CE6">
        <w:rPr>
          <w:b w:val="0"/>
          <w:color w:val="000000"/>
          <w:sz w:val="28"/>
          <w:szCs w:val="28"/>
          <w:lang w:val="ru-RU"/>
        </w:rPr>
        <w:t>аттенуированной</w:t>
      </w:r>
      <w:proofErr w:type="spellEnd"/>
      <w:r w:rsidRPr="00311CE6">
        <w:rPr>
          <w:b w:val="0"/>
          <w:color w:val="000000"/>
          <w:sz w:val="28"/>
          <w:szCs w:val="28"/>
          <w:lang w:val="ru-RU"/>
        </w:rPr>
        <w:t xml:space="preserve"> должно проходить с осторожностью у </w:t>
      </w:r>
      <w:r w:rsidR="003D670B" w:rsidRPr="00311CE6">
        <w:rPr>
          <w:b w:val="0"/>
          <w:color w:val="000000"/>
          <w:sz w:val="28"/>
          <w:szCs w:val="28"/>
          <w:lang w:val="ru-RU"/>
        </w:rPr>
        <w:t>младенцев</w:t>
      </w:r>
      <w:r w:rsidRPr="00311CE6">
        <w:rPr>
          <w:b w:val="0"/>
          <w:color w:val="000000"/>
          <w:sz w:val="28"/>
          <w:szCs w:val="28"/>
          <w:lang w:val="ru-RU"/>
        </w:rPr>
        <w:t xml:space="preserve"> с ослабленным иммунитетом и младенцев, находящихся в тесном контакте с иммунодефицитными людьми, если, по мнению врача, польза намного превышает риски. Наличие острой инфекции и лихорадки могут стать причиной для переноса сроков вакцинации. Слабое проявление лихорадки и ОРВИ не являются противопоказанием к введению ротавирусной вакцины, живой </w:t>
      </w:r>
      <w:proofErr w:type="spellStart"/>
      <w:r w:rsidRPr="00311CE6">
        <w:rPr>
          <w:b w:val="0"/>
          <w:color w:val="000000"/>
          <w:sz w:val="28"/>
          <w:szCs w:val="28"/>
          <w:lang w:val="ru-RU"/>
        </w:rPr>
        <w:t>аттенуированной</w:t>
      </w:r>
      <w:proofErr w:type="spellEnd"/>
      <w:r w:rsidRPr="00311CE6">
        <w:rPr>
          <w:b w:val="0"/>
          <w:color w:val="000000"/>
          <w:sz w:val="28"/>
          <w:szCs w:val="28"/>
          <w:lang w:val="ru-RU"/>
        </w:rPr>
        <w:t>.</w:t>
      </w:r>
    </w:p>
    <w:p w14:paraId="50D0C75B" w14:textId="6F7DA432" w:rsidR="00F968E8" w:rsidRPr="00E03A7F" w:rsidRDefault="004324F9" w:rsidP="00E03A7F">
      <w:pPr>
        <w:pStyle w:val="11"/>
        <w:tabs>
          <w:tab w:val="left" w:pos="588"/>
        </w:tabs>
        <w:spacing w:before="1"/>
        <w:ind w:left="0" w:firstLine="0"/>
        <w:jc w:val="both"/>
        <w:rPr>
          <w:b w:val="0"/>
          <w:color w:val="000000"/>
          <w:sz w:val="28"/>
          <w:szCs w:val="28"/>
          <w:lang w:val="ru-RU"/>
        </w:rPr>
      </w:pPr>
      <w:r w:rsidRPr="00311CE6">
        <w:rPr>
          <w:b w:val="0"/>
          <w:color w:val="000000"/>
          <w:sz w:val="28"/>
          <w:szCs w:val="28"/>
          <w:lang w:val="ru-RU"/>
        </w:rPr>
        <w:t xml:space="preserve">Имеющиеся опубликованные данные показывают небольшую увеличенную частоту инвагинации после введения других живых пероральных ротавирусных вакцин, особенно после первой дозы. Данные по безопасности, полученные в ходе клинических исследований ротавирусной вакцины, живой </w:t>
      </w:r>
      <w:proofErr w:type="spellStart"/>
      <w:r w:rsidRPr="00311CE6">
        <w:rPr>
          <w:b w:val="0"/>
          <w:color w:val="000000"/>
          <w:sz w:val="28"/>
          <w:szCs w:val="28"/>
          <w:lang w:val="ru-RU"/>
        </w:rPr>
        <w:t>аттенуированной</w:t>
      </w:r>
      <w:proofErr w:type="spellEnd"/>
      <w:r w:rsidRPr="00311CE6">
        <w:rPr>
          <w:b w:val="0"/>
          <w:color w:val="000000"/>
          <w:sz w:val="28"/>
          <w:szCs w:val="28"/>
          <w:lang w:val="ru-RU"/>
        </w:rPr>
        <w:t xml:space="preserve">, не показали повышенного риска инвагинации. Тем не менее, медицинские работники должны тщательно рассматривать случаи с симптомами, указывающими на инвагинацию. Как и другие вакцины от ротавируса, ротавирусная вакцина живая </w:t>
      </w:r>
      <w:proofErr w:type="spellStart"/>
      <w:r w:rsidRPr="00311CE6">
        <w:rPr>
          <w:b w:val="0"/>
          <w:color w:val="000000"/>
          <w:sz w:val="28"/>
          <w:szCs w:val="28"/>
          <w:lang w:val="ru-RU"/>
        </w:rPr>
        <w:t>аттенуированная</w:t>
      </w:r>
      <w:proofErr w:type="spellEnd"/>
      <w:r w:rsidRPr="00311CE6">
        <w:rPr>
          <w:b w:val="0"/>
          <w:color w:val="000000"/>
          <w:sz w:val="28"/>
          <w:szCs w:val="28"/>
          <w:lang w:val="ru-RU"/>
        </w:rPr>
        <w:t xml:space="preserve"> не гарантирует защиту всех вакцинированных от </w:t>
      </w:r>
      <w:r w:rsidRPr="00311CE6">
        <w:rPr>
          <w:b w:val="0"/>
          <w:color w:val="000000"/>
          <w:sz w:val="28"/>
          <w:szCs w:val="28"/>
          <w:lang w:val="ru-RU"/>
        </w:rPr>
        <w:lastRenderedPageBreak/>
        <w:t xml:space="preserve">ротавирусной инфекции. Кроме того, ротавирусная вакцина живая </w:t>
      </w:r>
      <w:proofErr w:type="spellStart"/>
      <w:r w:rsidRPr="00311CE6">
        <w:rPr>
          <w:b w:val="0"/>
          <w:color w:val="000000"/>
          <w:sz w:val="28"/>
          <w:szCs w:val="28"/>
          <w:lang w:val="ru-RU"/>
        </w:rPr>
        <w:t>аттенуированная</w:t>
      </w:r>
      <w:proofErr w:type="spellEnd"/>
      <w:r w:rsidRPr="00311CE6">
        <w:rPr>
          <w:b w:val="0"/>
          <w:color w:val="000000"/>
          <w:sz w:val="28"/>
          <w:szCs w:val="28"/>
          <w:lang w:val="ru-RU"/>
        </w:rPr>
        <w:t xml:space="preserve"> не обеспечит защиту от гастроэнтерита, вызванного другими патогенами.</w:t>
      </w:r>
      <w:bookmarkEnd w:id="3"/>
    </w:p>
    <w:p w14:paraId="427E3DAC" w14:textId="2F0E4098" w:rsidR="004324F9" w:rsidRPr="00E03A7F" w:rsidRDefault="004324F9" w:rsidP="004324F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03A7F">
        <w:rPr>
          <w:rFonts w:ascii="Times New Roman" w:hAnsi="Times New Roman" w:cs="Times New Roman"/>
          <w:i/>
          <w:color w:val="000000"/>
          <w:sz w:val="28"/>
          <w:szCs w:val="28"/>
        </w:rPr>
        <w:t>Беременность и период лактации</w:t>
      </w:r>
    </w:p>
    <w:p w14:paraId="74D67427" w14:textId="1B031A00" w:rsidR="00F968E8" w:rsidRPr="00E03A7F" w:rsidRDefault="004324F9" w:rsidP="004324F9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4" w:name="_Hlk52371908"/>
      <w:r w:rsidRPr="00311C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Вакцина не предназначена для применения у взрослых</w:t>
      </w:r>
      <w:r w:rsidR="00A54BC2" w:rsidRPr="00311CE6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,</w:t>
      </w:r>
      <w:r w:rsidR="00E6471D" w:rsidRPr="00311CE6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 xml:space="preserve"> включая женщин детородного возраста, и не должна </w:t>
      </w:r>
      <w:r w:rsidR="00A54BC2" w:rsidRPr="00311CE6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применяться</w:t>
      </w:r>
      <w:r w:rsidR="00E6471D" w:rsidRPr="00311CE6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 xml:space="preserve"> беременным женщинам.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Данные по применению вакцины во время беременности и периода грудного вскармливания отсутствуют.</w:t>
      </w:r>
      <w:bookmarkEnd w:id="4"/>
    </w:p>
    <w:p w14:paraId="3F051243" w14:textId="747CDA7A" w:rsidR="004324F9" w:rsidRPr="00E03A7F" w:rsidRDefault="004324F9" w:rsidP="004324F9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03A7F">
        <w:rPr>
          <w:rFonts w:ascii="Times New Roman" w:hAnsi="Times New Roman" w:cs="Times New Roman"/>
          <w:i/>
          <w:color w:val="000000"/>
          <w:sz w:val="28"/>
          <w:szCs w:val="28"/>
        </w:rPr>
        <w:t>Особенности влияния на способность управлять транспортным средством и другими потенциально опасными механизмами</w:t>
      </w:r>
    </w:p>
    <w:p w14:paraId="409A6F74" w14:textId="7FB47F35" w:rsidR="004324F9" w:rsidRPr="00311CE6" w:rsidRDefault="00550092" w:rsidP="004324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52371924"/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Влияние на способность управлять машиной неизвестно. Ротавирусная вакцина живая 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</w:rPr>
        <w:t>аттенуированная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для приема внутрь предназначена для использования у </w:t>
      </w:r>
      <w:r w:rsidR="00E6471D"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>младенцев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, и, следовательно, </w:t>
      </w:r>
      <w:r w:rsidR="00E6471D"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это 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>неприменимо.</w:t>
      </w:r>
    </w:p>
    <w:bookmarkEnd w:id="5"/>
    <w:p w14:paraId="7FB28A2E" w14:textId="77777777" w:rsidR="004324F9" w:rsidRPr="00311CE6" w:rsidRDefault="004324F9" w:rsidP="00E64F40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6C0D21" w14:textId="77777777" w:rsidR="00B36A69" w:rsidRPr="00311CE6" w:rsidRDefault="00A516DE" w:rsidP="00E64F40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Рекомендации по применению</w:t>
      </w:r>
    </w:p>
    <w:p w14:paraId="554E4532" w14:textId="2A2D05B8" w:rsidR="00F968E8" w:rsidRPr="00E03A7F" w:rsidRDefault="00B36A69" w:rsidP="00E03A7F">
      <w:pPr>
        <w:shd w:val="clear" w:color="auto" w:fill="FFFFFF"/>
        <w:ind w:right="-1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bidi="ru-RU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Ротавирусная вакцина живая 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</w:rPr>
        <w:t>аттенуированная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предназначена только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для приема внутрь. </w:t>
      </w: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>НЕЛЬЗЯ ВВОДИТЬ ПАРЕНТЕРАЛЬНО!</w:t>
      </w:r>
    </w:p>
    <w:p w14:paraId="51DBE2BA" w14:textId="6232E37E" w:rsidR="00330C36" w:rsidRPr="00311CE6" w:rsidRDefault="00330C36" w:rsidP="00E64F40">
      <w:pPr>
        <w:ind w:right="-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311CE6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Режим дозирования</w:t>
      </w:r>
    </w:p>
    <w:p w14:paraId="7B95D787" w14:textId="77777777" w:rsidR="00644499" w:rsidRPr="00311CE6" w:rsidRDefault="00B36A69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6" w:name="_Hlk52371196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Ротавирусная вакцина живая 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аттенуированная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для приема внутрь, должна вводиться серией из 3 доз, с интервалом в 4 недели, начиная с 6-недельного возраста. Основываясь на рекомендациях ВОЗ, если иммунизация проводится позже 6-недельного возраста и/или </w:t>
      </w:r>
      <w:r w:rsidR="00A42683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 интервалами,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превышающими 4 недели, вакцина может быть введена отдельно или вместе с </w:t>
      </w:r>
      <w:r w:rsidR="008B4D52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КДС, </w:t>
      </w:r>
      <w:r w:rsidR="000224C3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инактивированная вакцина для профилактики полиомиелита </w:t>
      </w:r>
      <w:r w:rsidR="00A204AD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(IPV), пероральной </w:t>
      </w:r>
      <w:proofErr w:type="spellStart"/>
      <w:r w:rsidR="00A204AD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полиовирусной</w:t>
      </w:r>
      <w:proofErr w:type="spellEnd"/>
      <w:r w:rsidR="00A204AD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вакциной </w:t>
      </w:r>
      <w:bookmarkStart w:id="7" w:name="_Hlk517088870"/>
      <w:r w:rsidR="00A204AD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(OPV), </w:t>
      </w:r>
      <w:bookmarkEnd w:id="7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вакциной от гемофильной палочки типа В (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Hib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 и вакциной от гепатита В.</w:t>
      </w:r>
    </w:p>
    <w:p w14:paraId="3E7A4DB4" w14:textId="1B163911" w:rsidR="00B36A69" w:rsidRPr="00311CE6" w:rsidRDefault="00B36A69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Потребление пищи и/или жидкости</w:t>
      </w:r>
      <w:r w:rsidR="00A54BC2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младенцем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включая грудное молоко, не запрещается до и после вакцинации</w:t>
      </w:r>
      <w:r w:rsidR="0064449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503CF60" w14:textId="73BEE83A" w:rsidR="00644499" w:rsidRPr="00311CE6" w:rsidRDefault="00B36A69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Рекомендуется пройти полную серию вакцинации из 3 доз </w:t>
      </w:r>
      <w:r w:rsidR="0064449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акцины от </w:t>
      </w:r>
      <w:r w:rsidR="0064449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отавируса, </w:t>
      </w:r>
      <w:r w:rsidR="0064449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ивой 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аттенуированн</w:t>
      </w:r>
      <w:r w:rsidR="0064449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ой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DE000E9" w14:textId="7704F2D6" w:rsidR="00A40E74" w:rsidRPr="00311CE6" w:rsidRDefault="00A40E74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Из-за типичного возрастного распределения ротавирусного гастроэнтерита, ротавирусная вакцинация детей старше 24 месяцев не рекомендуется.</w:t>
      </w:r>
    </w:p>
    <w:p w14:paraId="2E377FAD" w14:textId="77777777" w:rsidR="00644499" w:rsidRPr="00311CE6" w:rsidRDefault="00B36A69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Информация по безопасности, иммуногенности и эффективности введения </w:t>
      </w:r>
      <w:r w:rsidR="0064449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акцины от </w:t>
      </w:r>
      <w:r w:rsidR="0064449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отавируса, </w:t>
      </w:r>
      <w:r w:rsidR="0064449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ивой 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аттенуированн</w:t>
      </w:r>
      <w:r w:rsidR="0064449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ой</w:t>
      </w:r>
      <w:proofErr w:type="spellEnd"/>
      <w:r w:rsidR="0064449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для приема внутрь сов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</w:t>
      </w:r>
      <w:r w:rsidR="0064449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другими вакцинами от ротавируса отсутствует.</w:t>
      </w:r>
    </w:p>
    <w:p w14:paraId="2229D59C" w14:textId="0D727EEA" w:rsidR="00B36A69" w:rsidRPr="00311CE6" w:rsidRDefault="00644499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один прием можно вводить лишь одну дозу. </w:t>
      </w:r>
      <w:r w:rsidR="00B36A6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случае, если вв</w:t>
      </w:r>
      <w:r w:rsidR="00395831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елась</w:t>
      </w:r>
      <w:r w:rsidR="00B36A6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неполная доза (ребенок выплевывает или изрыгает большую часть вакцины)</w:t>
      </w:r>
      <w:r w:rsidR="00687514" w:rsidRPr="00311CE6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, п</w:t>
      </w:r>
      <w:r w:rsidR="00395831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 усмотрению врача </w:t>
      </w:r>
      <w:r w:rsidR="00395831" w:rsidRPr="00311C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 не менее, если</w:t>
      </w:r>
      <w:r w:rsidR="00AE0461" w:rsidRPr="00311C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7639D" w:rsidRPr="00311C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врачом</w:t>
      </w:r>
      <w:r w:rsidR="00395831" w:rsidRPr="00311C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оценено, что ребенок сплюнул или срыгнул большую часть дозы вакцины, можно дать ребенку дополнительную дозу вакцины в тот же визит для проведения вакцинации.</w:t>
      </w:r>
      <w:r w:rsidR="00395831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36A6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Ребенок </w:t>
      </w:r>
      <w:r w:rsidR="00395831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должен</w:t>
      </w:r>
      <w:r w:rsidR="00B36A6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получать оставшиеся дозы </w:t>
      </w:r>
      <w:r w:rsidR="00AE0461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вакцинации </w:t>
      </w:r>
      <w:r w:rsidR="00B36A69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 графиком.</w:t>
      </w:r>
    </w:p>
    <w:bookmarkEnd w:id="6"/>
    <w:p w14:paraId="33F1C807" w14:textId="77777777" w:rsidR="00F968E8" w:rsidRPr="00311CE6" w:rsidRDefault="00F968E8" w:rsidP="00E64F40">
      <w:pPr>
        <w:widowControl w:val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39F47945" w14:textId="36C162A3" w:rsidR="00AE0461" w:rsidRPr="00311CE6" w:rsidRDefault="00AE0461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Доза введения: </w:t>
      </w:r>
      <w:bookmarkStart w:id="8" w:name="_Hlk52371217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Объем каждой отдельной дозы ротавирусной вакцины, живой 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аттенуированной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составляет примерно 2.5 мл. Если целостность флакона вакцины и/или буферного </w:t>
      </w:r>
      <w:r w:rsidR="00D77B43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растворителя 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была скомпрометирована, этот конкретный флакон должен быть выброшен. Содержание флакона, содержащего буферный </w:t>
      </w:r>
      <w:r w:rsidR="00D77B43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растворитель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следует визуально проверить на наличие любых чужеродных частиц и/или </w:t>
      </w:r>
      <w:r w:rsidR="00E23464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аномального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23464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состояния</w:t>
      </w:r>
      <w:r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перед введением. </w:t>
      </w:r>
      <w:r w:rsidR="00E23464" w:rsidRPr="00311C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случае наличия частиц или аномального состояния содержимого флакона </w:t>
      </w:r>
      <w:r w:rsidR="00E23464" w:rsidRPr="00311CE6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откажитесь от применения вакцины.</w:t>
      </w:r>
    </w:p>
    <w:p w14:paraId="677E241D" w14:textId="74978BFB" w:rsidR="009C3D07" w:rsidRPr="00943CCB" w:rsidRDefault="009C3D07" w:rsidP="009C3D07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Восстановленную вакцину необходимо использовать немедленно. Если вакцина не используется немедленно, вакцину можно хранить максимум 6 часов при температуре от 2 до 8°C при условии, что шприц* используется для закрытия адаптера флакона.</w:t>
      </w:r>
    </w:p>
    <w:p w14:paraId="1F80221F" w14:textId="611E3EE0" w:rsidR="009C3D07" w:rsidRPr="00943CCB" w:rsidRDefault="009C3D07" w:rsidP="009C3D07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*Новый шприц, если это вторая доза. В противном случае используйте шприц, использованный для восстановления.</w:t>
      </w:r>
    </w:p>
    <w:p w14:paraId="72DD1D5C" w14:textId="0435D02E" w:rsidR="00AE0461" w:rsidRPr="00943CCB" w:rsidRDefault="00AE0461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Вакцина не должна смешиваться с другими медицинскими препаратами.</w:t>
      </w:r>
      <w:r w:rsidR="0037639D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40B83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Неиспользованная вакцина и/или использованные флаконы должны </w:t>
      </w:r>
      <w:r w:rsidR="009629EA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быть </w:t>
      </w:r>
      <w:r w:rsidR="00A40B83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утилизиро</w:t>
      </w:r>
      <w:r w:rsidR="009629EA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ваны</w:t>
      </w:r>
      <w:r w:rsidR="00E2419C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40B83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 местными требованиями к биологическим материалам.</w:t>
      </w:r>
    </w:p>
    <w:bookmarkEnd w:id="8"/>
    <w:p w14:paraId="27BC55B3" w14:textId="4F4453B4" w:rsidR="00AE0461" w:rsidRPr="00943CCB" w:rsidRDefault="00AE0461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Инструкция по разбавлению </w:t>
      </w:r>
      <w:r w:rsidR="00B32D12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ротавирусной вакцины, живой </w:t>
      </w:r>
      <w:proofErr w:type="spellStart"/>
      <w:r w:rsidR="00B32D12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аттенуированной</w:t>
      </w:r>
      <w:proofErr w:type="spellEnd"/>
      <w:r w:rsidR="00B32D12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для приема внутрь</w:t>
      </w:r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89"/>
        <w:gridCol w:w="2685"/>
        <w:gridCol w:w="2289"/>
        <w:gridCol w:w="2024"/>
      </w:tblGrid>
      <w:tr w:rsidR="002A5F5F" w:rsidRPr="00943CCB" w14:paraId="28AC0033" w14:textId="77777777" w:rsidTr="00943CCB">
        <w:tc>
          <w:tcPr>
            <w:tcW w:w="2289" w:type="dxa"/>
          </w:tcPr>
          <w:p w14:paraId="7554B05E" w14:textId="75E26F17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9" w:name="_Hlk69981789"/>
            <w:r w:rsidRPr="00943C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5AAC9F52" wp14:editId="0347D5D1">
                  <wp:extent cx="1339850" cy="1330960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14:paraId="4CFF0A65" w14:textId="4FC0ECD3" w:rsidR="002A5F5F" w:rsidRPr="00943CCB" w:rsidRDefault="002A5F5F" w:rsidP="002A5F5F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1. Снимите пластиковые крышки с флаконов с буферным растворителем и </w:t>
            </w:r>
            <w:proofErr w:type="spellStart"/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лиофилизированным</w:t>
            </w:r>
            <w:proofErr w:type="spellEnd"/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порошком.</w:t>
            </w:r>
          </w:p>
        </w:tc>
        <w:tc>
          <w:tcPr>
            <w:tcW w:w="2193" w:type="dxa"/>
          </w:tcPr>
          <w:p w14:paraId="6F3EB575" w14:textId="405F30AA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4249FB9F" wp14:editId="72C3108F">
                  <wp:extent cx="1312545" cy="132207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</w:tcPr>
          <w:p w14:paraId="53C43181" w14:textId="52A2DB4F" w:rsidR="002A5F5F" w:rsidRPr="00943CCB" w:rsidRDefault="002A5F5F" w:rsidP="002A5F5F">
            <w:pPr>
              <w:widowControl w:val="0"/>
              <w:tabs>
                <w:tab w:val="left" w:pos="1034"/>
                <w:tab w:val="left" w:pos="1035"/>
              </w:tabs>
              <w:autoSpaceDE/>
              <w:autoSpaceDN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5. Держа за шприц, осторожно раскрутите флакон до полного растворения. Не встряхивайте. Разбавленная вакцина будет розоватого цвета, без видимых включений.</w:t>
            </w:r>
          </w:p>
        </w:tc>
      </w:tr>
      <w:tr w:rsidR="002A5F5F" w:rsidRPr="00943CCB" w14:paraId="11BBD909" w14:textId="77777777" w:rsidTr="00943CCB">
        <w:tc>
          <w:tcPr>
            <w:tcW w:w="2289" w:type="dxa"/>
          </w:tcPr>
          <w:p w14:paraId="6990724D" w14:textId="1EE3DE87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4B5656EA" wp14:editId="5B99306E">
                  <wp:extent cx="1339850" cy="132207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14:paraId="657DE2A4" w14:textId="4D59CB87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2. Установите адаптер на флакон с буферным растворителем. Подсоедините шприц к адаптеру. Потяните плунжер и </w:t>
            </w:r>
            <w:proofErr w:type="spellStart"/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аспирируйте</w:t>
            </w:r>
            <w:proofErr w:type="spellEnd"/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буферный растворитель из </w:t>
            </w:r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флакона.</w:t>
            </w:r>
          </w:p>
        </w:tc>
        <w:tc>
          <w:tcPr>
            <w:tcW w:w="2193" w:type="dxa"/>
          </w:tcPr>
          <w:p w14:paraId="296C9249" w14:textId="47F62257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lastRenderedPageBreak/>
              <w:drawing>
                <wp:inline distT="0" distB="0" distL="0" distR="0" wp14:anchorId="29D5CEFF" wp14:editId="6E4E2BE0">
                  <wp:extent cx="1312545" cy="1330960"/>
                  <wp:effectExtent l="0" t="0" r="1905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</w:tcPr>
          <w:p w14:paraId="4534B2CA" w14:textId="7EBC560B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6. Удерживая плунжер, переверните шприц с флаконом вверх дном. Потяните плунжер и </w:t>
            </w:r>
            <w:proofErr w:type="spellStart"/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аспирируйте</w:t>
            </w:r>
            <w:proofErr w:type="spellEnd"/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разовую дозу </w:t>
            </w:r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(2,5 мл) из флакона.</w:t>
            </w:r>
          </w:p>
        </w:tc>
      </w:tr>
      <w:tr w:rsidR="002A5F5F" w:rsidRPr="00943CCB" w14:paraId="1A024009" w14:textId="77777777" w:rsidTr="00943CCB">
        <w:tc>
          <w:tcPr>
            <w:tcW w:w="2289" w:type="dxa"/>
          </w:tcPr>
          <w:p w14:paraId="6E81E617" w14:textId="7C6E3F1D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lastRenderedPageBreak/>
              <w:drawing>
                <wp:inline distT="0" distB="0" distL="0" distR="0" wp14:anchorId="3EA51854" wp14:editId="5E68FAE6">
                  <wp:extent cx="1339850" cy="133096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14:paraId="0864E690" w14:textId="61797A2E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 Отсоедините адаптер со шприцем от флакона с буферным растворителем.</w:t>
            </w:r>
          </w:p>
        </w:tc>
        <w:tc>
          <w:tcPr>
            <w:tcW w:w="2193" w:type="dxa"/>
          </w:tcPr>
          <w:p w14:paraId="21EDCC80" w14:textId="557E30B0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0DE5E685" wp14:editId="5FA8457A">
                  <wp:extent cx="1339850" cy="133096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</w:tcPr>
          <w:p w14:paraId="3ACB0817" w14:textId="113B4A9E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7. Отсоедините шприц от адаптера флакона. Вакцина готова к введению.</w:t>
            </w:r>
          </w:p>
        </w:tc>
      </w:tr>
      <w:tr w:rsidR="002A5F5F" w:rsidRPr="00943CCB" w14:paraId="6AD44A95" w14:textId="77777777" w:rsidTr="00943CCB">
        <w:tc>
          <w:tcPr>
            <w:tcW w:w="2289" w:type="dxa"/>
          </w:tcPr>
          <w:p w14:paraId="635F5F67" w14:textId="37E33F41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6053E5FA" wp14:editId="4978BC79">
                  <wp:extent cx="1339850" cy="1330960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14:paraId="5CDBCCDB" w14:textId="2EC02E17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4. Присоедините адаптер со шприцем к вакцине с </w:t>
            </w:r>
            <w:proofErr w:type="spellStart"/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лиофилизированным</w:t>
            </w:r>
            <w:proofErr w:type="spellEnd"/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порошком. Перенесите содержимое шприца во флакон.</w:t>
            </w:r>
          </w:p>
        </w:tc>
        <w:tc>
          <w:tcPr>
            <w:tcW w:w="2193" w:type="dxa"/>
          </w:tcPr>
          <w:p w14:paraId="774ED09C" w14:textId="2733D593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35E9F206" wp14:editId="10D71B02">
                  <wp:extent cx="1339850" cy="133096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</w:tcPr>
          <w:p w14:paraId="25A5F5D2" w14:textId="243F04CE" w:rsidR="002A5F5F" w:rsidRPr="00943CCB" w:rsidRDefault="002A5F5F" w:rsidP="00E64F40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43C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8. Введите все содержимое шприца перорально (на внутреннюю сторону щеки). Ребенок должен находиться в полулежащем положении. Не для инъекционного введения.</w:t>
            </w:r>
          </w:p>
        </w:tc>
      </w:tr>
      <w:bookmarkEnd w:id="9"/>
    </w:tbl>
    <w:p w14:paraId="0B4BF5E3" w14:textId="77777777" w:rsidR="002A5F5F" w:rsidRPr="00943CCB" w:rsidRDefault="002A5F5F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32141DAF" w14:textId="56539721" w:rsidR="002A5F5F" w:rsidRPr="00943CCB" w:rsidRDefault="002A5F5F" w:rsidP="002A5F5F">
      <w:pPr>
        <w:widowControl w:val="0"/>
        <w:tabs>
          <w:tab w:val="left" w:pos="1034"/>
          <w:tab w:val="left" w:pos="1035"/>
        </w:tabs>
        <w:autoSpaceDE/>
        <w:autoSpaceDN/>
        <w:spacing w:before="42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Многодозовый</w:t>
      </w:r>
      <w:proofErr w:type="spellEnd"/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флакон: оставьте адаптер на флаконе с восстановленной вакциной.</w:t>
      </w:r>
    </w:p>
    <w:p w14:paraId="623DA784" w14:textId="0B0FE691" w:rsidR="00E2419C" w:rsidRPr="00943CCB" w:rsidRDefault="002A5F5F" w:rsidP="002A5F5F">
      <w:pPr>
        <w:widowControl w:val="0"/>
        <w:tabs>
          <w:tab w:val="left" w:pos="1034"/>
          <w:tab w:val="left" w:pos="1035"/>
        </w:tabs>
        <w:autoSpaceDE/>
        <w:autoSpaceDN/>
        <w:spacing w:before="42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Используйте свежий шприц для второй дозы после отмены и введения первой дозы.</w:t>
      </w:r>
    </w:p>
    <w:p w14:paraId="01796F63" w14:textId="77777777" w:rsidR="00F968E8" w:rsidRPr="00943CCB" w:rsidRDefault="00F968E8" w:rsidP="005C6C91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D55811F" w14:textId="5D9392F3" w:rsidR="005C6C91" w:rsidRPr="00943CCB" w:rsidRDefault="005C6C91" w:rsidP="005C6C91">
      <w:pPr>
        <w:jc w:val="both"/>
        <w:rPr>
          <w:rFonts w:ascii="Times New Roman" w:hAnsi="Times New Roman"/>
          <w:i/>
        </w:rPr>
      </w:pPr>
      <w:r w:rsidRPr="00943CCB">
        <w:rPr>
          <w:rFonts w:ascii="Times New Roman" w:hAnsi="Times New Roman"/>
          <w:b/>
          <w:i/>
          <w:sz w:val="28"/>
          <w:szCs w:val="28"/>
        </w:rPr>
        <w:t>Меры, которые необходимо принять в случае передозировки</w:t>
      </w:r>
      <w:r w:rsidRPr="00943CCB">
        <w:rPr>
          <w:rFonts w:ascii="Times New Roman" w:hAnsi="Times New Roman"/>
          <w:i/>
        </w:rPr>
        <w:t xml:space="preserve"> </w:t>
      </w:r>
    </w:p>
    <w:p w14:paraId="775E18B9" w14:textId="77777777" w:rsidR="003A4B09" w:rsidRPr="00943CCB" w:rsidRDefault="003A4B09" w:rsidP="003A4B09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случаях передозировки не сообщалось.</w:t>
      </w:r>
    </w:p>
    <w:p w14:paraId="1C4FE265" w14:textId="28B97D60" w:rsidR="00286BD2" w:rsidRPr="00943CCB" w:rsidRDefault="00286BD2" w:rsidP="00042E6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EC0DCD1" w14:textId="77777777" w:rsidR="005C6C91" w:rsidRPr="00943CCB" w:rsidRDefault="005C6C91" w:rsidP="005C6C91">
      <w:pPr>
        <w:jc w:val="both"/>
        <w:rPr>
          <w:rFonts w:ascii="Times New Roman" w:hAnsi="Times New Roman"/>
          <w:b/>
          <w:sz w:val="28"/>
          <w:szCs w:val="28"/>
        </w:rPr>
      </w:pPr>
      <w:bookmarkStart w:id="10" w:name="2175220282"/>
      <w:r w:rsidRPr="00943CCB">
        <w:rPr>
          <w:rFonts w:ascii="Times New Roman" w:hAnsi="Times New Roman"/>
          <w:b/>
          <w:sz w:val="28"/>
          <w:szCs w:val="28"/>
        </w:rPr>
        <w:t xml:space="preserve">Описание нежелательных реакций, </w:t>
      </w:r>
      <w:r w:rsidRPr="00943CCB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10"/>
    <w:p w14:paraId="7F2F5C76" w14:textId="7EB1B580" w:rsidR="00016047" w:rsidRPr="00943CCB" w:rsidRDefault="00D557DD" w:rsidP="00A40E74">
      <w:pPr>
        <w:widowControl w:val="0"/>
        <w:spacing w:before="36"/>
        <w:ind w:right="36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Нижеперечисленные</w:t>
      </w:r>
      <w:r w:rsidR="00E1210B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нежелательные реакции проявились в течение 7</w:t>
      </w:r>
      <w:r w:rsidR="00A40E74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1210B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дней после введения </w:t>
      </w:r>
      <w:r w:rsidR="00A41092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вакцины</w:t>
      </w:r>
      <w:r w:rsidR="00E1210B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56FB2376" w14:textId="0151915A" w:rsidR="00E1210B" w:rsidRPr="00943CCB" w:rsidRDefault="00016047" w:rsidP="00E2419C">
      <w:pPr>
        <w:widowControl w:val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Очень част</w:t>
      </w:r>
      <w:r w:rsidR="005C6C91" w:rsidRPr="00943CCB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о</w:t>
      </w:r>
      <w:r w:rsidRPr="00943CCB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:</w:t>
      </w:r>
    </w:p>
    <w:p w14:paraId="7B8C44CC" w14:textId="77777777" w:rsidR="00E1210B" w:rsidRPr="00943CCB" w:rsidRDefault="00E1210B" w:rsidP="005C6C91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="00016047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лихорадка</w:t>
      </w:r>
    </w:p>
    <w:p w14:paraId="4F384BA2" w14:textId="77777777" w:rsidR="00E1210B" w:rsidRPr="00943CCB" w:rsidRDefault="00E1210B" w:rsidP="005C6C91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016047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раздражительность</w:t>
      </w:r>
    </w:p>
    <w:p w14:paraId="3DBA53B4" w14:textId="77777777" w:rsidR="00C72107" w:rsidRPr="00943CCB" w:rsidRDefault="00E1210B" w:rsidP="005C6C91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016047"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сниженный уровень активности</w:t>
      </w:r>
    </w:p>
    <w:p w14:paraId="082B7451" w14:textId="77777777" w:rsidR="00D77B43" w:rsidRPr="00943CCB" w:rsidRDefault="00C72107" w:rsidP="005C6C91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3910BF" w:rsidRPr="00943C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6047" w:rsidRPr="00943CCB">
        <w:rPr>
          <w:rFonts w:ascii="Times New Roman" w:hAnsi="Times New Roman" w:cs="Times New Roman"/>
          <w:color w:val="000000"/>
          <w:sz w:val="28"/>
          <w:szCs w:val="28"/>
        </w:rPr>
        <w:t>ниженный аппетит</w:t>
      </w:r>
    </w:p>
    <w:p w14:paraId="3029EFAB" w14:textId="3F45C4DC" w:rsidR="003910BF" w:rsidRPr="00943CCB" w:rsidRDefault="00D77B43" w:rsidP="005C6C91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16047" w:rsidRPr="00943CCB">
        <w:rPr>
          <w:rFonts w:ascii="Times New Roman" w:hAnsi="Times New Roman" w:cs="Times New Roman"/>
          <w:color w:val="000000"/>
          <w:sz w:val="28"/>
          <w:szCs w:val="28"/>
        </w:rPr>
        <w:t xml:space="preserve">рвота </w:t>
      </w:r>
    </w:p>
    <w:p w14:paraId="53DC2D57" w14:textId="35B05FF9" w:rsidR="003910BF" w:rsidRPr="00943CCB" w:rsidRDefault="00016047" w:rsidP="00C72107">
      <w:pPr>
        <w:widowControl w:val="0"/>
        <w:ind w:right="3250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  <w:r w:rsidRPr="00943CCB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Част</w:t>
      </w:r>
      <w:r w:rsidR="005C6C91" w:rsidRPr="00943CCB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о</w:t>
      </w:r>
      <w:r w:rsidRPr="00943CCB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14:paraId="40C4419D" w14:textId="77777777" w:rsidR="00016047" w:rsidRPr="00943CCB" w:rsidRDefault="003910BF" w:rsidP="005C6C91">
      <w:pPr>
        <w:pStyle w:val="af1"/>
        <w:widowControl w:val="0"/>
        <w:numPr>
          <w:ilvl w:val="0"/>
          <w:numId w:val="10"/>
        </w:numPr>
        <w:spacing w:line="240" w:lineRule="auto"/>
        <w:ind w:left="284" w:right="3250" w:hanging="284"/>
        <w:rPr>
          <w:rFonts w:ascii="Times New Roman" w:hAnsi="Times New Roman"/>
          <w:color w:val="000000"/>
          <w:sz w:val="28"/>
          <w:szCs w:val="28"/>
        </w:rPr>
      </w:pPr>
      <w:r w:rsidRPr="00943CCB">
        <w:rPr>
          <w:rFonts w:ascii="Times New Roman" w:hAnsi="Times New Roman"/>
          <w:color w:val="000000"/>
          <w:sz w:val="28"/>
          <w:szCs w:val="28"/>
        </w:rPr>
        <w:t>д</w:t>
      </w:r>
      <w:r w:rsidR="00016047" w:rsidRPr="00943CCB">
        <w:rPr>
          <w:rFonts w:ascii="Times New Roman" w:hAnsi="Times New Roman"/>
          <w:color w:val="000000"/>
          <w:sz w:val="28"/>
          <w:szCs w:val="28"/>
        </w:rPr>
        <w:t>иарея</w:t>
      </w:r>
    </w:p>
    <w:p w14:paraId="2BA5A92B" w14:textId="77777777" w:rsidR="002730C8" w:rsidRPr="00311CE6" w:rsidRDefault="002730C8" w:rsidP="002730C8">
      <w:pPr>
        <w:pStyle w:val="afa"/>
        <w:jc w:val="both"/>
        <w:rPr>
          <w:rFonts w:ascii="Times New Roman" w:hAnsi="Times New Roman"/>
          <w:i/>
          <w:color w:val="000000"/>
          <w:sz w:val="28"/>
        </w:rPr>
      </w:pPr>
      <w:bookmarkStart w:id="11" w:name="_GoBack"/>
      <w:bookmarkEnd w:id="11"/>
      <w:r w:rsidRPr="00311CE6">
        <w:rPr>
          <w:rFonts w:ascii="Times New Roman" w:hAnsi="Times New Roman"/>
          <w:b/>
          <w:color w:val="000000"/>
          <w:sz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0D57933E" w14:textId="071647BE" w:rsidR="002730C8" w:rsidRPr="00311CE6" w:rsidRDefault="002730C8" w:rsidP="00B75B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РГП на ПХВ «Национальный Центр экспертизы лекарственных средств и медицинских изделий» Комитет</w:t>
      </w:r>
      <w:r w:rsidR="00890385"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385"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медицинского и фармацевтического 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>контроля Министерства здравоохранения Республики Казахстан</w:t>
      </w:r>
    </w:p>
    <w:p w14:paraId="73B862F9" w14:textId="77777777" w:rsidR="002730C8" w:rsidRPr="00311CE6" w:rsidRDefault="009E3BEA" w:rsidP="00B75B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AD7B0E" w:rsidRPr="00311CE6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D7B0E" w:rsidRPr="00311CE6">
          <w:rPr>
            <w:rStyle w:val="af0"/>
            <w:rFonts w:ascii="Times New Roman" w:hAnsi="Times New Roman" w:cs="Times New Roman"/>
            <w:sz w:val="28"/>
            <w:szCs w:val="28"/>
          </w:rPr>
          <w:t>://</w:t>
        </w:r>
        <w:r w:rsidR="00AD7B0E" w:rsidRPr="00311CE6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D7B0E" w:rsidRPr="00311CE6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7B0E" w:rsidRPr="00311CE6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ndda</w:t>
        </w:r>
        <w:proofErr w:type="spellEnd"/>
        <w:r w:rsidR="00AD7B0E" w:rsidRPr="00311CE6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7B0E" w:rsidRPr="00311CE6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="00AD7B0E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B9E62B" w14:textId="77777777" w:rsidR="002730C8" w:rsidRPr="00311CE6" w:rsidRDefault="002730C8" w:rsidP="00042E6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</w:p>
    <w:p w14:paraId="1CFA7C77" w14:textId="77777777" w:rsidR="00F86C2E" w:rsidRPr="00311CE6" w:rsidRDefault="00F86C2E" w:rsidP="00E241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Дополнительные сведения</w:t>
      </w:r>
    </w:p>
    <w:p w14:paraId="33472BA8" w14:textId="77777777" w:rsidR="00F86C2E" w:rsidRPr="00311CE6" w:rsidRDefault="00584781" w:rsidP="00F86C2E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Состав на 2.5 мл (1 дозу)</w:t>
      </w:r>
    </w:p>
    <w:p w14:paraId="4C628AAC" w14:textId="77777777" w:rsidR="00F86C2E" w:rsidRPr="00311CE6" w:rsidRDefault="00F86C2E" w:rsidP="00F86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i/>
          <w:color w:val="000000"/>
          <w:sz w:val="28"/>
          <w:szCs w:val="28"/>
        </w:rPr>
        <w:t>активное вещество</w:t>
      </w:r>
      <w:r w:rsidR="00584781" w:rsidRPr="00311C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8E2F57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Живые </w:t>
      </w:r>
      <w:proofErr w:type="spellStart"/>
      <w:r w:rsidR="008E2F57" w:rsidRPr="00311CE6">
        <w:rPr>
          <w:rFonts w:ascii="Times New Roman" w:hAnsi="Times New Roman" w:cs="Times New Roman"/>
          <w:color w:val="000000"/>
          <w:sz w:val="28"/>
          <w:szCs w:val="28"/>
        </w:rPr>
        <w:t>аттенуированные</w:t>
      </w:r>
      <w:proofErr w:type="spellEnd"/>
      <w:r w:rsidR="008E2F57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2F57" w:rsidRPr="00311CE6">
        <w:rPr>
          <w:rFonts w:ascii="Times New Roman" w:hAnsi="Times New Roman" w:cs="Times New Roman"/>
          <w:color w:val="000000"/>
          <w:sz w:val="28"/>
          <w:szCs w:val="28"/>
        </w:rPr>
        <w:t>реассортанты</w:t>
      </w:r>
      <w:proofErr w:type="spellEnd"/>
      <w:r w:rsidR="008E2F57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человеческого и бычьего ротавируса (серотипы ** G1, G2, G3, G4 и G9)</w:t>
      </w:r>
      <w:r w:rsidR="00422347" w:rsidRPr="00311C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7B0E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81" w:rsidRPr="00311CE6">
        <w:rPr>
          <w:rFonts w:ascii="Times New Roman" w:hAnsi="Times New Roman" w:cs="Times New Roman"/>
          <w:color w:val="000000"/>
          <w:sz w:val="28"/>
          <w:szCs w:val="28"/>
        </w:rPr>
        <w:t>не менее 10</w:t>
      </w:r>
      <w:r w:rsidR="00584781" w:rsidRPr="00311C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5.6</w:t>
      </w:r>
      <w:r w:rsidR="00E32A35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БОЕ каждого серотипа.</w:t>
      </w:r>
    </w:p>
    <w:p w14:paraId="7B6EBCA0" w14:textId="0248F76A" w:rsidR="00E32A35" w:rsidRPr="00311CE6" w:rsidRDefault="009D47AF" w:rsidP="00F86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** </w:t>
      </w:r>
      <w:r w:rsidR="00825313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Культивируемые на клетках </w:t>
      </w:r>
      <w:proofErr w:type="spellStart"/>
      <w:r w:rsidR="00825313" w:rsidRPr="00311CE6">
        <w:rPr>
          <w:rFonts w:ascii="Times New Roman" w:hAnsi="Times New Roman" w:cs="Times New Roman"/>
          <w:color w:val="000000"/>
          <w:sz w:val="28"/>
          <w:szCs w:val="28"/>
        </w:rPr>
        <w:t>Vero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B8D027" w14:textId="01C78472" w:rsidR="00F968E8" w:rsidRPr="00294FB2" w:rsidRDefault="00D77B43" w:rsidP="00F86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вспомогательные вещества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>: минимальная питательная среда Игла, сахароза, глицин.</w:t>
      </w:r>
    </w:p>
    <w:p w14:paraId="624745A7" w14:textId="13557D69" w:rsidR="009D47AF" w:rsidRPr="00294FB2" w:rsidRDefault="009D47AF" w:rsidP="00F86C2E">
      <w:pPr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94FB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Растворитель</w:t>
      </w:r>
    </w:p>
    <w:p w14:paraId="4639EB2C" w14:textId="5E30ADD4" w:rsidR="00F968E8" w:rsidRPr="00294FB2" w:rsidRDefault="00E32A35" w:rsidP="00294F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>Состав цитратного бикарбонатного буфера в миллиграммах на 1.0 мл</w:t>
      </w:r>
      <w:r w:rsidR="00BA6511" w:rsidRPr="00311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B23C79" w:rsidRPr="00311CE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86C2E" w:rsidRPr="00311CE6">
        <w:rPr>
          <w:rFonts w:ascii="Times New Roman" w:hAnsi="Times New Roman" w:cs="Times New Roman"/>
          <w:color w:val="000000"/>
          <w:sz w:val="28"/>
          <w:szCs w:val="28"/>
        </w:rPr>
        <w:t>атрия бикарбонат</w:t>
      </w:r>
      <w:r w:rsidR="00BA6511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25.6 мг</w:t>
      </w:r>
      <w:r w:rsidR="00F86C2E" w:rsidRPr="00311CE6">
        <w:rPr>
          <w:rFonts w:ascii="Times New Roman" w:hAnsi="Times New Roman" w:cs="Times New Roman"/>
          <w:color w:val="000000"/>
          <w:sz w:val="28"/>
          <w:szCs w:val="28"/>
        </w:rPr>
        <w:t>, моногидрат лимонной кислоты</w:t>
      </w:r>
      <w:r w:rsidR="00BA6511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9.6 мг</w:t>
      </w:r>
      <w:r w:rsidR="00F86C2E" w:rsidRPr="00311CE6">
        <w:rPr>
          <w:rFonts w:ascii="Times New Roman" w:hAnsi="Times New Roman" w:cs="Times New Roman"/>
          <w:color w:val="000000"/>
          <w:sz w:val="28"/>
          <w:szCs w:val="28"/>
        </w:rPr>
        <w:t>, вода для инъекций</w:t>
      </w:r>
      <w:r w:rsidR="00BA6511"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1 мл</w:t>
      </w:r>
      <w:r w:rsidR="00F86C2E" w:rsidRPr="00311C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9D3D33" w14:textId="25A857B8" w:rsidR="002106E3" w:rsidRPr="00311CE6" w:rsidRDefault="002106E3" w:rsidP="00F86C2E">
      <w:pPr>
        <w:autoSpaceDE/>
        <w:autoSpaceDN/>
        <w:ind w:right="33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Описание внешнего вида, запаха, вкуса</w:t>
      </w:r>
    </w:p>
    <w:p w14:paraId="2941935D" w14:textId="77777777" w:rsidR="00F86C2E" w:rsidRPr="00311CE6" w:rsidRDefault="00F86C2E" w:rsidP="00F86C2E">
      <w:pPr>
        <w:autoSpaceDE/>
        <w:autoSpaceDN/>
        <w:ind w:righ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Масса розово – желтовато – белого цвета. </w:t>
      </w:r>
    </w:p>
    <w:p w14:paraId="53BF1559" w14:textId="77777777" w:rsidR="00F86C2E" w:rsidRPr="00311CE6" w:rsidRDefault="00F86C2E" w:rsidP="00F86C2E">
      <w:pPr>
        <w:autoSpaceDE/>
        <w:autoSpaceDN/>
        <w:ind w:righ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Восстановленный раствор: розовато-желтоватая прозрачная жидкость.</w:t>
      </w:r>
    </w:p>
    <w:p w14:paraId="64A2EADF" w14:textId="77777777" w:rsidR="008C013B" w:rsidRPr="00311CE6" w:rsidRDefault="008C013B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194A4C" w14:textId="77777777" w:rsidR="001772DC" w:rsidRPr="00311CE6" w:rsidRDefault="00286BD2" w:rsidP="001772DC">
      <w:pPr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Форма выпуска и упаковка</w:t>
      </w:r>
    </w:p>
    <w:p w14:paraId="74732A56" w14:textId="77777777" w:rsidR="00FC5FD0" w:rsidRPr="00311CE6" w:rsidRDefault="00FC5FD0" w:rsidP="00FC5FD0">
      <w:pPr>
        <w:tabs>
          <w:tab w:val="left" w:pos="720"/>
          <w:tab w:val="left" w:pos="2304"/>
          <w:tab w:val="left" w:pos="3456"/>
          <w:tab w:val="left" w:pos="4609"/>
          <w:tab w:val="left" w:pos="5679"/>
          <w:tab w:val="left" w:pos="6913"/>
          <w:tab w:val="left" w:pos="8065"/>
        </w:tabs>
        <w:autoSpaceDE/>
        <w:autoSpaceDN/>
        <w:jc w:val="both"/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</w:pPr>
      <w:r w:rsidRPr="00311CE6">
        <w:rPr>
          <w:rFonts w:ascii="Times New Roman" w:eastAsia="MS Mincho" w:hAnsi="Times New Roman" w:cs="Times New Roman"/>
          <w:i/>
          <w:iCs/>
          <w:color w:val="000000"/>
          <w:kern w:val="16"/>
          <w:sz w:val="28"/>
          <w:szCs w:val="28"/>
          <w:lang w:eastAsia="ja-JP"/>
        </w:rPr>
        <w:t>Вакцина:</w:t>
      </w:r>
      <w:r w:rsidRPr="00311CE6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 xml:space="preserve"> по 1 или 2 дозы препарата во флаконы из бесцветного стекла с пробкой из </w:t>
      </w:r>
      <w:proofErr w:type="spellStart"/>
      <w:r w:rsidRPr="00311CE6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>бромбутилового</w:t>
      </w:r>
      <w:proofErr w:type="spellEnd"/>
      <w:r w:rsidRPr="00311CE6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 xml:space="preserve"> серого цвета и алюминиевым обжимным колпачком с пластиковой отрывной крышкой.</w:t>
      </w:r>
    </w:p>
    <w:p w14:paraId="012C0BAC" w14:textId="77777777" w:rsidR="00FC5FD0" w:rsidRPr="00311CE6" w:rsidRDefault="00FC5FD0" w:rsidP="00FC5FD0">
      <w:pPr>
        <w:tabs>
          <w:tab w:val="left" w:pos="720"/>
          <w:tab w:val="left" w:pos="2304"/>
          <w:tab w:val="left" w:pos="3456"/>
          <w:tab w:val="left" w:pos="4609"/>
          <w:tab w:val="left" w:pos="5679"/>
          <w:tab w:val="left" w:pos="6913"/>
          <w:tab w:val="left" w:pos="8065"/>
        </w:tabs>
        <w:autoSpaceDE/>
        <w:autoSpaceDN/>
        <w:jc w:val="both"/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</w:pPr>
      <w:r w:rsidRPr="00311CE6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>По 50 флаконов (1 или 2 дозы) препарата вместе с инструкцией по медицинскому применению на казахском и русском языках помещают в пачку из картона.</w:t>
      </w:r>
    </w:p>
    <w:p w14:paraId="11C884A7" w14:textId="77777777" w:rsidR="00FC5FD0" w:rsidRPr="00311CE6" w:rsidRDefault="00FC5FD0" w:rsidP="00FC5FD0">
      <w:pPr>
        <w:tabs>
          <w:tab w:val="left" w:pos="720"/>
          <w:tab w:val="left" w:pos="2304"/>
          <w:tab w:val="left" w:pos="3456"/>
          <w:tab w:val="left" w:pos="4609"/>
          <w:tab w:val="left" w:pos="5679"/>
          <w:tab w:val="left" w:pos="6913"/>
          <w:tab w:val="left" w:pos="8065"/>
        </w:tabs>
        <w:autoSpaceDE/>
        <w:autoSpaceDN/>
        <w:jc w:val="both"/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</w:pPr>
      <w:r w:rsidRPr="00311CE6">
        <w:rPr>
          <w:rFonts w:ascii="Times New Roman" w:eastAsia="MS Mincho" w:hAnsi="Times New Roman" w:cs="Times New Roman"/>
          <w:i/>
          <w:iCs/>
          <w:color w:val="000000"/>
          <w:kern w:val="16"/>
          <w:sz w:val="28"/>
          <w:szCs w:val="28"/>
          <w:lang w:eastAsia="ja-JP"/>
        </w:rPr>
        <w:t>Растворитель:</w:t>
      </w:r>
      <w:r w:rsidRPr="00311CE6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 xml:space="preserve"> по 2.5 мл или 5.0 мл растворителя во флаконы из бесцветного стекла с пробкой из </w:t>
      </w:r>
      <w:proofErr w:type="spellStart"/>
      <w:r w:rsidRPr="00311CE6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>бромбутилового</w:t>
      </w:r>
      <w:proofErr w:type="spellEnd"/>
      <w:r w:rsidRPr="00311CE6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 xml:space="preserve"> серого цвета и алюминиевым обжимным колпачком с пластиковой отрывной крышкой.</w:t>
      </w:r>
    </w:p>
    <w:p w14:paraId="5356FE02" w14:textId="20A73540" w:rsidR="00D77B43" w:rsidRPr="00FC5FD0" w:rsidRDefault="00FC5FD0" w:rsidP="00FC5FD0">
      <w:pPr>
        <w:tabs>
          <w:tab w:val="left" w:pos="720"/>
          <w:tab w:val="left" w:pos="2304"/>
          <w:tab w:val="left" w:pos="3456"/>
          <w:tab w:val="left" w:pos="4609"/>
          <w:tab w:val="left" w:pos="5679"/>
          <w:tab w:val="left" w:pos="6913"/>
          <w:tab w:val="left" w:pos="8065"/>
        </w:tabs>
        <w:autoSpaceDE/>
        <w:autoSpaceDN/>
        <w:jc w:val="both"/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</w:pPr>
      <w:r w:rsidRPr="00311CE6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>По 50 флаконов (2.5 мл или 5.0 мл) растворителя помещают в пачку из картона.</w:t>
      </w:r>
    </w:p>
    <w:p w14:paraId="5F455A5E" w14:textId="77777777" w:rsidR="00294FB2" w:rsidRPr="00294FB2" w:rsidRDefault="00294FB2" w:rsidP="00294FB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A2A84E1" w14:textId="7A275E3B" w:rsidR="004A4EA1" w:rsidRPr="00311CE6" w:rsidRDefault="004A4EA1" w:rsidP="004A4EA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Срок хранения</w:t>
      </w:r>
    </w:p>
    <w:p w14:paraId="5C3896BC" w14:textId="77777777" w:rsidR="004A4EA1" w:rsidRPr="00311CE6" w:rsidRDefault="004A4EA1" w:rsidP="004A4E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lastRenderedPageBreak/>
        <w:t>2,5 года</w:t>
      </w:r>
    </w:p>
    <w:p w14:paraId="7A7C970B" w14:textId="39DCA94A" w:rsidR="002C7F18" w:rsidRPr="00294FB2" w:rsidRDefault="004A4EA1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Не применять по истечении срока годности!</w:t>
      </w:r>
    </w:p>
    <w:p w14:paraId="47E335ED" w14:textId="4B5B873D" w:rsidR="00286BD2" w:rsidRPr="00311CE6" w:rsidRDefault="00286BD2" w:rsidP="00E2419C">
      <w:pPr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Условия хранения</w:t>
      </w:r>
    </w:p>
    <w:p w14:paraId="7298A707" w14:textId="77777777" w:rsidR="00286BD2" w:rsidRPr="00311CE6" w:rsidRDefault="002A0FA3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>ри температуре не выше 25 ºС</w:t>
      </w:r>
      <w:r w:rsidR="00FD6818" w:rsidRPr="00311C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4CA0E4" w14:textId="77777777" w:rsidR="00286BD2" w:rsidRPr="00311CE6" w:rsidRDefault="00286BD2" w:rsidP="00E2419C">
      <w:pPr>
        <w:pStyle w:val="a7"/>
        <w:ind w:left="0" w:right="0"/>
        <w:rPr>
          <w:color w:val="000000"/>
          <w:sz w:val="28"/>
          <w:szCs w:val="28"/>
        </w:rPr>
      </w:pPr>
      <w:r w:rsidRPr="00311CE6">
        <w:rPr>
          <w:color w:val="000000"/>
          <w:sz w:val="28"/>
          <w:szCs w:val="28"/>
        </w:rPr>
        <w:t xml:space="preserve">Хранить в недоступном для детей месте! </w:t>
      </w:r>
    </w:p>
    <w:p w14:paraId="47C533A7" w14:textId="77777777" w:rsidR="00286BD2" w:rsidRPr="00311CE6" w:rsidRDefault="00286BD2" w:rsidP="00E241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5B6BED" w14:textId="77777777" w:rsidR="00286BD2" w:rsidRPr="00311CE6" w:rsidRDefault="00286BD2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</w:rPr>
        <w:t>Условия отпуска из аптек</w:t>
      </w:r>
    </w:p>
    <w:p w14:paraId="15485045" w14:textId="77777777" w:rsidR="00286BD2" w:rsidRPr="00311CE6" w:rsidRDefault="00286BD2" w:rsidP="00E2419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По рецепту (только для специализированных учреждений)</w:t>
      </w:r>
    </w:p>
    <w:p w14:paraId="123C3392" w14:textId="77777777" w:rsidR="000578EE" w:rsidRPr="00311CE6" w:rsidRDefault="000578EE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A932CFA" w14:textId="77777777" w:rsidR="00286BD2" w:rsidRPr="00311CE6" w:rsidRDefault="00715889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Сведения о п</w:t>
      </w:r>
      <w:r w:rsidR="00286BD2"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роизводител</w:t>
      </w: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</w:p>
    <w:p w14:paraId="009B08F3" w14:textId="77777777" w:rsidR="0057591D" w:rsidRPr="00311CE6" w:rsidRDefault="0057591D" w:rsidP="0057591D">
      <w:p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11CE6">
        <w:rPr>
          <w:rFonts w:ascii="Times New Roman" w:hAnsi="Times New Roman"/>
          <w:bCs/>
          <w:sz w:val="28"/>
          <w:szCs w:val="28"/>
          <w:lang w:val="kk-KZ"/>
        </w:rPr>
        <w:t>Serum Institute of India Pvt. Ltd.,</w:t>
      </w:r>
    </w:p>
    <w:p w14:paraId="56B31004" w14:textId="77777777" w:rsidR="0057591D" w:rsidRPr="00311CE6" w:rsidRDefault="0057591D" w:rsidP="0057591D">
      <w:p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11CE6">
        <w:rPr>
          <w:rFonts w:ascii="Times New Roman" w:hAnsi="Times New Roman"/>
          <w:bCs/>
          <w:sz w:val="28"/>
          <w:szCs w:val="28"/>
          <w:lang w:val="kk-KZ"/>
        </w:rPr>
        <w:t xml:space="preserve">212/2, Хадапсар, Пуне – 411 028, Индия </w:t>
      </w:r>
    </w:p>
    <w:p w14:paraId="2E7A5D12" w14:textId="77777777" w:rsidR="0057591D" w:rsidRPr="00311CE6" w:rsidRDefault="0057591D" w:rsidP="0057591D">
      <w:pPr>
        <w:jc w:val="both"/>
        <w:rPr>
          <w:rFonts w:ascii="Times New Roman" w:hAnsi="Times New Roman"/>
          <w:bCs/>
          <w:sz w:val="28"/>
          <w:szCs w:val="28"/>
        </w:rPr>
      </w:pPr>
      <w:r w:rsidRPr="00311CE6">
        <w:rPr>
          <w:rFonts w:ascii="Times New Roman" w:hAnsi="Times New Roman"/>
          <w:bCs/>
          <w:sz w:val="28"/>
          <w:szCs w:val="28"/>
        </w:rPr>
        <w:t>Тел.: + 91-20-26602801 / 26993900 / 04</w:t>
      </w:r>
    </w:p>
    <w:p w14:paraId="275144E5" w14:textId="77777777" w:rsidR="0057591D" w:rsidRPr="00311CE6" w:rsidRDefault="0057591D" w:rsidP="0057591D">
      <w:pPr>
        <w:jc w:val="both"/>
        <w:rPr>
          <w:rFonts w:ascii="Times New Roman" w:hAnsi="Times New Roman"/>
          <w:bCs/>
          <w:sz w:val="28"/>
          <w:szCs w:val="28"/>
        </w:rPr>
      </w:pPr>
      <w:r w:rsidRPr="00311CE6">
        <w:rPr>
          <w:rFonts w:ascii="Times New Roman" w:hAnsi="Times New Roman"/>
          <w:bCs/>
          <w:sz w:val="28"/>
          <w:szCs w:val="28"/>
        </w:rPr>
        <w:t>Факс: + 91- 20-26993924 / 26993921</w:t>
      </w:r>
    </w:p>
    <w:p w14:paraId="73CCD85C" w14:textId="77777777" w:rsidR="0057591D" w:rsidRPr="00FC5FD0" w:rsidRDefault="0057591D" w:rsidP="0057591D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11CE6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FC5FD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311CE6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FC5FD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FC5FD0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12" w:name="_Hlk69982448"/>
      <w:r w:rsidR="00F32816">
        <w:fldChar w:fldCharType="begin"/>
      </w:r>
      <w:r w:rsidR="00F32816" w:rsidRPr="00FC5FD0">
        <w:rPr>
          <w:lang w:val="en-US"/>
        </w:rPr>
        <w:instrText xml:space="preserve"> HYPERLINK "mailto:y.joshi@seruminstitute.com" </w:instrText>
      </w:r>
      <w:r w:rsidR="00F32816">
        <w:fldChar w:fldCharType="separate"/>
      </w:r>
      <w:r w:rsidRPr="00311CE6">
        <w:rPr>
          <w:rStyle w:val="af0"/>
          <w:rFonts w:ascii="Times New Roman" w:hAnsi="Times New Roman"/>
          <w:sz w:val="28"/>
          <w:szCs w:val="28"/>
          <w:lang w:val="en-US"/>
        </w:rPr>
        <w:t>y</w:t>
      </w:r>
      <w:r w:rsidRPr="00FC5FD0">
        <w:rPr>
          <w:rStyle w:val="af0"/>
          <w:rFonts w:ascii="Times New Roman" w:hAnsi="Times New Roman"/>
          <w:sz w:val="28"/>
          <w:szCs w:val="28"/>
          <w:lang w:val="en-US"/>
        </w:rPr>
        <w:t>.</w:t>
      </w:r>
      <w:r w:rsidRPr="00311CE6">
        <w:rPr>
          <w:rStyle w:val="af0"/>
          <w:rFonts w:ascii="Times New Roman" w:hAnsi="Times New Roman"/>
          <w:sz w:val="28"/>
          <w:szCs w:val="28"/>
          <w:lang w:val="en-US"/>
        </w:rPr>
        <w:t>joshi</w:t>
      </w:r>
      <w:r w:rsidRPr="00FC5FD0">
        <w:rPr>
          <w:rStyle w:val="af0"/>
          <w:rFonts w:ascii="Times New Roman" w:hAnsi="Times New Roman"/>
          <w:sz w:val="28"/>
          <w:szCs w:val="28"/>
          <w:lang w:val="en-US"/>
        </w:rPr>
        <w:t>@</w:t>
      </w:r>
      <w:r w:rsidRPr="00311CE6">
        <w:rPr>
          <w:rStyle w:val="af0"/>
          <w:rFonts w:ascii="Times New Roman" w:hAnsi="Times New Roman"/>
          <w:sz w:val="28"/>
          <w:szCs w:val="28"/>
          <w:lang w:val="en-US"/>
        </w:rPr>
        <w:t>seruminstitute</w:t>
      </w:r>
      <w:r w:rsidRPr="00FC5FD0">
        <w:rPr>
          <w:rStyle w:val="af0"/>
          <w:rFonts w:ascii="Times New Roman" w:hAnsi="Times New Roman"/>
          <w:sz w:val="28"/>
          <w:szCs w:val="28"/>
          <w:lang w:val="en-US"/>
        </w:rPr>
        <w:t>.</w:t>
      </w:r>
      <w:r w:rsidRPr="00311CE6">
        <w:rPr>
          <w:rStyle w:val="af0"/>
          <w:rFonts w:ascii="Times New Roman" w:hAnsi="Times New Roman"/>
          <w:sz w:val="28"/>
          <w:szCs w:val="28"/>
          <w:lang w:val="en-US"/>
        </w:rPr>
        <w:t>com</w:t>
      </w:r>
      <w:r w:rsidR="00F32816">
        <w:rPr>
          <w:rStyle w:val="af0"/>
          <w:rFonts w:ascii="Times New Roman" w:hAnsi="Times New Roman"/>
          <w:sz w:val="28"/>
          <w:szCs w:val="28"/>
          <w:lang w:val="en-US"/>
        </w:rPr>
        <w:fldChar w:fldCharType="end"/>
      </w:r>
      <w:bookmarkEnd w:id="12"/>
    </w:p>
    <w:p w14:paraId="6C865134" w14:textId="77777777" w:rsidR="002C7F18" w:rsidRPr="00311CE6" w:rsidRDefault="002C7F18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2A13C45" w14:textId="18BB8266" w:rsidR="00286BD2" w:rsidRPr="00311CE6" w:rsidRDefault="00561C3A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Держатель</w:t>
      </w:r>
      <w:r w:rsidR="00286BD2" w:rsidRPr="00311C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регистрационного удостоверения</w:t>
      </w:r>
    </w:p>
    <w:p w14:paraId="1B0A63AB" w14:textId="77777777" w:rsidR="0057591D" w:rsidRPr="00FC5FD0" w:rsidRDefault="0057591D" w:rsidP="0057591D">
      <w:pPr>
        <w:jc w:val="both"/>
        <w:rPr>
          <w:rFonts w:ascii="Times New Roman" w:hAnsi="Times New Roman"/>
          <w:bCs/>
          <w:sz w:val="28"/>
          <w:szCs w:val="28"/>
        </w:rPr>
      </w:pPr>
      <w:r w:rsidRPr="00311CE6">
        <w:rPr>
          <w:rFonts w:ascii="Times New Roman" w:hAnsi="Times New Roman"/>
          <w:bCs/>
          <w:sz w:val="28"/>
          <w:szCs w:val="28"/>
          <w:lang w:val="en-US"/>
        </w:rPr>
        <w:t>Serum</w:t>
      </w:r>
      <w:r w:rsidRPr="00FC5FD0">
        <w:rPr>
          <w:rFonts w:ascii="Times New Roman" w:hAnsi="Times New Roman"/>
          <w:bCs/>
          <w:sz w:val="28"/>
          <w:szCs w:val="28"/>
        </w:rPr>
        <w:t xml:space="preserve"> </w:t>
      </w:r>
      <w:r w:rsidRPr="00311CE6">
        <w:rPr>
          <w:rFonts w:ascii="Times New Roman" w:hAnsi="Times New Roman"/>
          <w:bCs/>
          <w:sz w:val="28"/>
          <w:szCs w:val="28"/>
          <w:lang w:val="en-US"/>
        </w:rPr>
        <w:t>Institute</w:t>
      </w:r>
      <w:r w:rsidRPr="00FC5FD0">
        <w:rPr>
          <w:rFonts w:ascii="Times New Roman" w:hAnsi="Times New Roman"/>
          <w:bCs/>
          <w:sz w:val="28"/>
          <w:szCs w:val="28"/>
        </w:rPr>
        <w:t xml:space="preserve"> </w:t>
      </w:r>
      <w:r w:rsidRPr="00311CE6"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FC5FD0">
        <w:rPr>
          <w:rFonts w:ascii="Times New Roman" w:hAnsi="Times New Roman"/>
          <w:bCs/>
          <w:sz w:val="28"/>
          <w:szCs w:val="28"/>
        </w:rPr>
        <w:t xml:space="preserve"> </w:t>
      </w:r>
      <w:r w:rsidRPr="00311CE6">
        <w:rPr>
          <w:rFonts w:ascii="Times New Roman" w:hAnsi="Times New Roman"/>
          <w:bCs/>
          <w:sz w:val="28"/>
          <w:szCs w:val="28"/>
          <w:lang w:val="en-US"/>
        </w:rPr>
        <w:t>India</w:t>
      </w:r>
      <w:r w:rsidRPr="00FC5FD0">
        <w:rPr>
          <w:rFonts w:ascii="Times New Roman" w:hAnsi="Times New Roman"/>
          <w:bCs/>
          <w:sz w:val="28"/>
          <w:szCs w:val="28"/>
        </w:rPr>
        <w:t xml:space="preserve"> </w:t>
      </w:r>
      <w:r w:rsidRPr="00311CE6">
        <w:rPr>
          <w:rFonts w:ascii="Times New Roman" w:hAnsi="Times New Roman"/>
          <w:bCs/>
          <w:sz w:val="28"/>
          <w:szCs w:val="28"/>
          <w:lang w:val="en-US"/>
        </w:rPr>
        <w:t>Pvt</w:t>
      </w:r>
      <w:r w:rsidRPr="00FC5FD0">
        <w:rPr>
          <w:rFonts w:ascii="Times New Roman" w:hAnsi="Times New Roman"/>
          <w:bCs/>
          <w:sz w:val="28"/>
          <w:szCs w:val="28"/>
        </w:rPr>
        <w:t xml:space="preserve">. </w:t>
      </w:r>
      <w:r w:rsidRPr="00311CE6">
        <w:rPr>
          <w:rFonts w:ascii="Times New Roman" w:hAnsi="Times New Roman"/>
          <w:bCs/>
          <w:sz w:val="28"/>
          <w:szCs w:val="28"/>
          <w:lang w:val="en-US"/>
        </w:rPr>
        <w:t>Ltd</w:t>
      </w:r>
      <w:r w:rsidRPr="00FC5FD0">
        <w:rPr>
          <w:rFonts w:ascii="Times New Roman" w:hAnsi="Times New Roman"/>
          <w:bCs/>
          <w:sz w:val="28"/>
          <w:szCs w:val="28"/>
        </w:rPr>
        <w:t>.,</w:t>
      </w:r>
    </w:p>
    <w:p w14:paraId="789E61AC" w14:textId="77777777" w:rsidR="0057591D" w:rsidRPr="00311CE6" w:rsidRDefault="0057591D" w:rsidP="0057591D">
      <w:pPr>
        <w:jc w:val="both"/>
        <w:rPr>
          <w:rFonts w:ascii="Times New Roman" w:hAnsi="Times New Roman"/>
          <w:bCs/>
          <w:sz w:val="28"/>
          <w:szCs w:val="28"/>
        </w:rPr>
      </w:pPr>
      <w:r w:rsidRPr="00311CE6">
        <w:rPr>
          <w:rFonts w:ascii="Times New Roman" w:hAnsi="Times New Roman"/>
          <w:bCs/>
          <w:sz w:val="28"/>
          <w:szCs w:val="28"/>
        </w:rPr>
        <w:t xml:space="preserve">212/2, </w:t>
      </w:r>
      <w:proofErr w:type="spellStart"/>
      <w:r w:rsidRPr="00311CE6">
        <w:rPr>
          <w:rFonts w:ascii="Times New Roman" w:hAnsi="Times New Roman"/>
          <w:bCs/>
          <w:sz w:val="28"/>
          <w:szCs w:val="28"/>
        </w:rPr>
        <w:t>Хадапсар</w:t>
      </w:r>
      <w:proofErr w:type="spellEnd"/>
      <w:r w:rsidRPr="00311CE6">
        <w:rPr>
          <w:rFonts w:ascii="Times New Roman" w:hAnsi="Times New Roman"/>
          <w:bCs/>
          <w:sz w:val="28"/>
          <w:szCs w:val="28"/>
        </w:rPr>
        <w:t>, Пуне – 411</w:t>
      </w:r>
      <w:r w:rsidRPr="00311CE6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311CE6">
        <w:rPr>
          <w:rFonts w:ascii="Times New Roman" w:hAnsi="Times New Roman"/>
          <w:bCs/>
          <w:sz w:val="28"/>
          <w:szCs w:val="28"/>
        </w:rPr>
        <w:t xml:space="preserve">028, Индия </w:t>
      </w:r>
    </w:p>
    <w:p w14:paraId="6F15F96B" w14:textId="77777777" w:rsidR="0057591D" w:rsidRPr="00311CE6" w:rsidRDefault="0057591D" w:rsidP="0057591D">
      <w:pPr>
        <w:jc w:val="both"/>
        <w:rPr>
          <w:rFonts w:ascii="Times New Roman" w:hAnsi="Times New Roman"/>
          <w:bCs/>
          <w:sz w:val="28"/>
          <w:szCs w:val="28"/>
        </w:rPr>
      </w:pPr>
      <w:r w:rsidRPr="00311CE6">
        <w:rPr>
          <w:rFonts w:ascii="Times New Roman" w:hAnsi="Times New Roman"/>
          <w:bCs/>
          <w:sz w:val="28"/>
          <w:szCs w:val="28"/>
        </w:rPr>
        <w:t>Тел.: + 91-20-26602801 / 26993900 / 04</w:t>
      </w:r>
    </w:p>
    <w:p w14:paraId="390E7A7A" w14:textId="77777777" w:rsidR="0057591D" w:rsidRPr="00311CE6" w:rsidRDefault="0057591D" w:rsidP="0057591D">
      <w:pPr>
        <w:jc w:val="both"/>
        <w:rPr>
          <w:rFonts w:ascii="Times New Roman" w:hAnsi="Times New Roman"/>
          <w:bCs/>
          <w:sz w:val="28"/>
          <w:szCs w:val="28"/>
        </w:rPr>
      </w:pPr>
      <w:r w:rsidRPr="00311CE6">
        <w:rPr>
          <w:rFonts w:ascii="Times New Roman" w:hAnsi="Times New Roman"/>
          <w:bCs/>
          <w:sz w:val="28"/>
          <w:szCs w:val="28"/>
        </w:rPr>
        <w:t>Факс: + 91- 20-26993924 / 26993921</w:t>
      </w:r>
    </w:p>
    <w:p w14:paraId="7B7D76DA" w14:textId="77777777" w:rsidR="0057591D" w:rsidRPr="00311CE6" w:rsidRDefault="0057591D" w:rsidP="0057591D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11CE6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311CE6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7" w:history="1">
        <w:r w:rsidRPr="00311CE6">
          <w:rPr>
            <w:rStyle w:val="af0"/>
            <w:rFonts w:ascii="Times New Roman" w:hAnsi="Times New Roman"/>
            <w:sz w:val="28"/>
            <w:szCs w:val="28"/>
            <w:lang w:val="en-US"/>
          </w:rPr>
          <w:t>y.joshi@seruminstitute.com</w:t>
        </w:r>
      </w:hyperlink>
    </w:p>
    <w:p w14:paraId="196A2A9F" w14:textId="77777777" w:rsidR="00D77B43" w:rsidRPr="00311CE6" w:rsidRDefault="00D77B43" w:rsidP="00E2419C">
      <w:pPr>
        <w:autoSpaceDE/>
        <w:autoSpaceDN/>
        <w:ind w:right="-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14:paraId="2DABC3DC" w14:textId="78FFEF5F" w:rsidR="004A4EA1" w:rsidRPr="00311CE6" w:rsidRDefault="00042E66" w:rsidP="007C7EF1">
      <w:pPr>
        <w:autoSpaceDE/>
        <w:autoSpaceDN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Наименование, адрес и контактные данные (телефон, факс и электронная почта) 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 средства:</w:t>
      </w:r>
    </w:p>
    <w:p w14:paraId="63A03EBD" w14:textId="77777777" w:rsidR="00BD493A" w:rsidRPr="00311CE6" w:rsidRDefault="00BD493A" w:rsidP="002C7F18">
      <w:pPr>
        <w:autoSpaceDE/>
        <w:autoSpaceDN/>
        <w:ind w:right="-676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ТОО «NF 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</w:rPr>
        <w:t>Pharma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» (НФ 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</w:rPr>
        <w:t>Фарма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9E69D88" w14:textId="78CEE6D0" w:rsidR="002C7F18" w:rsidRPr="00311CE6" w:rsidRDefault="002C7F18" w:rsidP="002C7F18">
      <w:pPr>
        <w:autoSpaceDE/>
        <w:autoSpaceDN/>
        <w:ind w:right="-676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050010, г. Алматы, пр. 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</w:rPr>
        <w:t>Достык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, 38, оф. № 704, </w:t>
      </w:r>
      <w:r w:rsidR="00890385" w:rsidRPr="00311CE6">
        <w:rPr>
          <w:rFonts w:ascii="Times New Roman" w:hAnsi="Times New Roman" w:cs="Times New Roman"/>
          <w:color w:val="000000"/>
          <w:sz w:val="28"/>
          <w:szCs w:val="28"/>
        </w:rPr>
        <w:t>Бизнес-центр</w:t>
      </w: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 KDC,</w:t>
      </w:r>
    </w:p>
    <w:p w14:paraId="7F364F55" w14:textId="77777777" w:rsidR="002C7F18" w:rsidRPr="00311CE6" w:rsidRDefault="002C7F18" w:rsidP="002C7F18">
      <w:pPr>
        <w:autoSpaceDE/>
        <w:autoSpaceDN/>
        <w:ind w:right="-676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тел.:  + 7 (727) 345 10 11, </w:t>
      </w:r>
    </w:p>
    <w:p w14:paraId="618E636B" w14:textId="77777777" w:rsidR="002C7F18" w:rsidRPr="00311CE6" w:rsidRDefault="002C7F18" w:rsidP="002C7F18">
      <w:pPr>
        <w:autoSpaceDE/>
        <w:autoSpaceDN/>
        <w:ind w:right="-676"/>
        <w:rPr>
          <w:rFonts w:ascii="Times New Roman" w:hAnsi="Times New Roman" w:cs="Times New Roman"/>
          <w:color w:val="000000"/>
          <w:sz w:val="28"/>
          <w:szCs w:val="28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факс: + 7 (727) 291-85-33,</w:t>
      </w:r>
    </w:p>
    <w:p w14:paraId="3F14FC9C" w14:textId="6184C770" w:rsidR="00AD7B0E" w:rsidRPr="002C7F18" w:rsidRDefault="002C7F18" w:rsidP="002C7F18">
      <w:pPr>
        <w:autoSpaceDE/>
        <w:autoSpaceDN/>
        <w:ind w:right="-67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11CE6"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311CE6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311C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8" w:history="1">
        <w:r w:rsidRPr="00311CE6">
          <w:rPr>
            <w:rStyle w:val="af0"/>
            <w:rFonts w:ascii="Times New Roman" w:hAnsi="Times New Roman" w:cs="Times New Roman"/>
            <w:sz w:val="28"/>
            <w:szCs w:val="28"/>
          </w:rPr>
          <w:t>info@nfpharma.kz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AD7B0E" w:rsidRPr="002C7F18" w:rsidSect="006739AB">
      <w:headerReference w:type="default" r:id="rId19"/>
      <w:footerReference w:type="even" r:id="rId2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4EC04" w14:textId="77777777" w:rsidR="009E3BEA" w:rsidRDefault="009E3BEA">
      <w:r>
        <w:separator/>
      </w:r>
    </w:p>
  </w:endnote>
  <w:endnote w:type="continuationSeparator" w:id="0">
    <w:p w14:paraId="713C9A19" w14:textId="77777777" w:rsidR="009E3BEA" w:rsidRDefault="009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Kaz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1B59" w14:textId="77777777" w:rsidR="00770B36" w:rsidRDefault="00770B36" w:rsidP="00D707C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6DBE8B1" w14:textId="77777777" w:rsidR="00770B36" w:rsidRDefault="00770B36" w:rsidP="00D707C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6BA2F" w14:textId="77777777" w:rsidR="009E3BEA" w:rsidRDefault="009E3BEA">
      <w:r>
        <w:separator/>
      </w:r>
    </w:p>
  </w:footnote>
  <w:footnote w:type="continuationSeparator" w:id="0">
    <w:p w14:paraId="35F8793C" w14:textId="77777777" w:rsidR="009E3BEA" w:rsidRDefault="009E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C339" w14:textId="77777777" w:rsidR="00770B36" w:rsidRDefault="00770B3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99AA1" wp14:editId="749DF2EB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1CAD3" w14:textId="77777777" w:rsidR="00770B36" w:rsidRPr="00024865" w:rsidRDefault="00770B3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99A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0.25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aXuAIAALwFAAAOAAAAZHJzL2Uyb0RvYy54bWysVO1umzAU/T9p72D5P+WjJgFUUrUhTJO6&#10;D6ndAzhggjWwme2EVNPefdcmSZNOk6Zt/LCw7/W5H+f43tzu+w7tmNJcihyHVwFGTFSy5mKT4y9P&#10;pZdgpA0VNe2kYDl+ZhrfLt6+uRmHjEWylV3NFAIQobNxyHFrzJD5vq5a1lN9JQcmwNhI1VMDW7Xx&#10;a0VHQO87PwqCmT9KVQ9KVkxrOC0mI144/KZhlfnUNJoZ1OUYcjNuVW5d29Vf3NBso+jQ8uqQBv2L&#10;LHrKBQQ9QRXUULRV/BeonldKatmYq0r2vmwaXjFXA1QTBq+qeWzpwFwt0Bw9nNqk/x9s9XH3WSFe&#10;5zjCSNAeKHpie4Pu5R5FtjvjoDNwehzAzezhGFh2lerhQVZfNRJy2VKxYXdKybFltIbsQnvTP7s6&#10;4WgLsh4/yBrC0K2RDmjfqN62DpqBAB1Yej4xY1Op4PA6CYMALBWYruckCuLYhaDZ8fagtHnHZI/s&#10;T44VMO/Q6e5BG5sNzY4uNpiQJe86x34nLg7AcTqB2HDV2mwWjszvaZCuklVCPBLNVh4JisK7K5fE&#10;m5XhPC6ui+WyCH/YuCHJWl7XTNgwR2GF5M+IO0h8ksRJWlp2vLZwNiWtNutlp9COgrBL9x0acubm&#10;X6bhmgC1vCopjEhwH6VeOUvmHilJ7KXzIPGCML1PZwFJSVFelvTABfv3ktCY4zSO4klMv60NaLfM&#10;Twye1UaznhsYHR3vc5ycnGhmJbgStaPWUN5N/2etsOm/tALoPhLtBGs1OqnV7Nd7QLEqXsv6GaSr&#10;JCgLVAjzDn7sGs1hO8L4yLH+tqWKYdS9F/AC0pAQMBm3IfE8go06t6zPLVRUrYSpZDCafpdmmlHb&#10;QfFNC8GmNyfkHbyahjtBvyR2eGswIlxdh3FmZ9D53nm9DN3FTwAAAP//AwBQSwMEFAAGAAgAAAAh&#10;AOb8oEXgAAAACwEAAA8AAABkcnMvZG93bnJldi54bWxMj81OwzAQhO9IvIO1SNyoTREhDXEqBKIS&#10;F9QGOPTmxCaJsNchdpv07dmc6Gn/RjPf5uvJWXY0Q+g8SrhdCGAGa687bCR8frzepMBCVKiV9Wgk&#10;nEyAdXF5katM+xF35ljGhpEJhkxJaGPsM85D3RqnwsL3Bun27QenIo1Dw/WgRjJ3li+FSLhTHVJC&#10;q3rz3Jr6pzw4CV/V+8nu+ru96Ma37bT53ZYvm0bK66vp6RFYNFP8F8OMT+hQEFPlD6gDsxJWibgn&#10;KTUPVGeBWM6bSkKSJinwIufnPxR/AAAA//8DAFBLAQItABQABgAIAAAAIQC2gziS/gAAAOEBAAAT&#10;AAAAAAAAAAAAAAAAAAAAAABbQ29udGVudF9UeXBlc10ueG1sUEsBAi0AFAAGAAgAAAAhADj9If/W&#10;AAAAlAEAAAsAAAAAAAAAAAAAAAAALwEAAF9yZWxzLy5yZWxzUEsBAi0AFAAGAAgAAAAhABigFpe4&#10;AgAAvAUAAA4AAAAAAAAAAAAAAAAALgIAAGRycy9lMm9Eb2MueG1sUEsBAi0AFAAGAAgAAAAhAOb8&#10;oEXgAAAACwEAAA8AAAAAAAAAAAAAAAAAEgUAAGRycy9kb3ducmV2LnhtbFBLBQYAAAAABAAEAPMA&#10;AAAfBgAAAAA=&#10;" filled="f" stroked="f">
              <v:textbox style="layout-flow:vertical;mso-layout-flow-alt:bottom-to-top">
                <w:txbxContent>
                  <w:p w14:paraId="5961CAD3" w14:textId="77777777" w:rsidR="00770B36" w:rsidRPr="00024865" w:rsidRDefault="00770B3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7D18CE" wp14:editId="5C2D855B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50EF2" w14:textId="77777777" w:rsidR="00770B36" w:rsidRPr="00024865" w:rsidRDefault="00770B3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D18CE" id="Text Box 1" o:spid="_x0000_s1027" type="#_x0000_t202" style="position:absolute;margin-left:480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chuAIAAMMFAAAOAAAAZHJzL2Uyb0RvYy54bWysVO1umzAU/T9p72D5P+WjTgKopGpDmCZ1&#10;H1K7B3DABGtgM9sJVFPffdcmSdNWk6Zt/LCw7/W5H+f4Xl2PXYv2TGkuRYbDiwAjJkpZcbHN8LeH&#10;wosx0oaKirZSsAw/Mo2vl+/fXQ19yiLZyLZiCgGI0OnQZ7gxpk99X5cN66i+kD0TYKyl6qiBrdr6&#10;laIDoHetHwXB3B+kqnolS6Y1nOaTES8dfl2z0nypa80MajMMuRm3Krdu7Oovr2i6VbRveHlIg/5F&#10;Fh3lAoKeoHJqKNop/gaq46WSWtbmopSdL+ual8zVANWEwatq7hvaM1cLNEf3pzbp/wdbft5/VYhX&#10;wB1GgnZA0QMbDbqVIwptd4Zep+B034ObGeHYetpKdX8ny+8aCblqqNiyG6Xk0DBaQXbupn92dcLR&#10;FmQzfJIVhKE7Ix3QWKvOAkIzEKADS48nZmwqJRxexmEQgKUEUxyE8SJ21Pk0Pd7ulTYfmOyQ/cmw&#10;AuYdOt3faQN1gOvRxQYTsuBt69hvxYsDcJxOIDZctTabhSPzZxIk63gdE49E87VHgjz3booV8eZF&#10;uJjll/lqlYdPNm5I0oZXFRM2zFFYIfkz4g4SnyRxkpaWLa8snE1Jq+1m1Sq0pyDswn2WLUj+zM1/&#10;mYYzQy2vSgojEtxGiVfM44VHCjLzkkUQe0GY3CbzgCQkL16WdMcF+/eS0JDhZBbNJjH9tjag3TL/&#10;pjaadtzA6Gh5ZyVxdKKpleBaVI5aQ3k7/Z+1wqb/3Aro2JFoJ1ir0UmtZtyMh5cBYFbMG1k9goKV&#10;BIGBGGHswY9dowVsB5giGdY/dlQxjNqPAh5CEhICJuM2ZLaIYKPOLZtzCxVlI2E4GYym35WZRtWu&#10;V3zbQLDp6Ql5A4+n5k7Xz4lBUXYDk8KVd5hqdhSd753X8+xd/gIAAP//AwBQSwMEFAAGAAgAAAAh&#10;AMZWfJngAAAADAEAAA8AAABkcnMvZG93bnJldi54bWxMj09PwzAMxe9IfIfISNxYwioKK00nBGIS&#10;F7QVduCWNqatyJ/SZGv37XFP7ORn++n553w9WcOOOITOOwm3CwEMXe115xoJnx+vNw/AQlROK+Md&#10;SjhhgHVxeZGrTPvR7fBYxoZRiAuZktDG2Gech7pFq8LC9+ho9+0HqyK1Q8P1oEYKt4YvhUi5VZ2j&#10;C63q8bnF+qc8WAn76v1kdn3yJbrxbTttfrfly6aR8vpqenoEFnGK/2aY8QkdCmKq/MHpwIyEVSru&#10;yErinupsEMt5UpFKUpEAL3J+/kTxBwAA//8DAFBLAQItABQABgAIAAAAIQC2gziS/gAAAOEBAAAT&#10;AAAAAAAAAAAAAAAAAAAAAABbQ29udGVudF9UeXBlc10ueG1sUEsBAi0AFAAGAAgAAAAhADj9If/W&#10;AAAAlAEAAAsAAAAAAAAAAAAAAAAALwEAAF9yZWxzLy5yZWxzUEsBAi0AFAAGAAgAAAAhANDUVyG4&#10;AgAAwwUAAA4AAAAAAAAAAAAAAAAALgIAAGRycy9lMm9Eb2MueG1sUEsBAi0AFAAGAAgAAAAhAMZW&#10;fJngAAAADAEAAA8AAAAAAAAAAAAAAAAAEgUAAGRycy9kb3ducmV2LnhtbFBLBQYAAAAABAAEAPMA&#10;AAAfBgAAAAA=&#10;" filled="f" stroked="f">
              <v:textbox style="layout-flow:vertical;mso-layout-flow-alt:bottom-to-top">
                <w:txbxContent>
                  <w:p w14:paraId="2BF50EF2" w14:textId="77777777" w:rsidR="00770B36" w:rsidRPr="00024865" w:rsidRDefault="00770B3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0E6D"/>
    <w:multiLevelType w:val="hybridMultilevel"/>
    <w:tmpl w:val="596ABA4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B167EE6"/>
    <w:multiLevelType w:val="hybridMultilevel"/>
    <w:tmpl w:val="99B2CD62"/>
    <w:lvl w:ilvl="0" w:tplc="3ACE42D0">
      <w:start w:val="1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1479162B"/>
    <w:multiLevelType w:val="hybridMultilevel"/>
    <w:tmpl w:val="1E923C36"/>
    <w:lvl w:ilvl="0" w:tplc="860E28DE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88F0BE3"/>
    <w:multiLevelType w:val="hybridMultilevel"/>
    <w:tmpl w:val="57027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E67DFC"/>
    <w:multiLevelType w:val="hybridMultilevel"/>
    <w:tmpl w:val="758C07F2"/>
    <w:lvl w:ilvl="0" w:tplc="804A1366">
      <w:start w:val="1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4E210028"/>
    <w:multiLevelType w:val="hybridMultilevel"/>
    <w:tmpl w:val="4EF6A636"/>
    <w:lvl w:ilvl="0" w:tplc="2E62D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6" w15:restartNumberingAfterBreak="0">
    <w:nsid w:val="6B9B6B9C"/>
    <w:multiLevelType w:val="hybridMultilevel"/>
    <w:tmpl w:val="74767482"/>
    <w:lvl w:ilvl="0" w:tplc="FFC25B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656088"/>
    <w:multiLevelType w:val="hybridMultilevel"/>
    <w:tmpl w:val="86CCBAE8"/>
    <w:lvl w:ilvl="0" w:tplc="5AE46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41545"/>
    <w:multiLevelType w:val="multilevel"/>
    <w:tmpl w:val="1A9C2EDA"/>
    <w:lvl w:ilvl="0">
      <w:start w:val="1"/>
      <w:numFmt w:val="decimal"/>
      <w:lvlText w:val="%1"/>
      <w:lvlJc w:val="left"/>
      <w:pPr>
        <w:ind w:left="588" w:hanging="360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88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1039" w:hanging="452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6" w:hanging="452"/>
      </w:pPr>
      <w:rPr>
        <w:rFonts w:hint="default"/>
      </w:rPr>
    </w:lvl>
    <w:lvl w:ilvl="4">
      <w:numFmt w:val="bullet"/>
      <w:lvlText w:val="•"/>
      <w:lvlJc w:val="left"/>
      <w:pPr>
        <w:ind w:left="3855" w:hanging="452"/>
      </w:pPr>
      <w:rPr>
        <w:rFonts w:hint="default"/>
      </w:rPr>
    </w:lvl>
    <w:lvl w:ilvl="5">
      <w:numFmt w:val="bullet"/>
      <w:lvlText w:val="•"/>
      <w:lvlJc w:val="left"/>
      <w:pPr>
        <w:ind w:left="4793" w:hanging="452"/>
      </w:pPr>
      <w:rPr>
        <w:rFonts w:hint="default"/>
      </w:rPr>
    </w:lvl>
    <w:lvl w:ilvl="6">
      <w:numFmt w:val="bullet"/>
      <w:lvlText w:val="•"/>
      <w:lvlJc w:val="left"/>
      <w:pPr>
        <w:ind w:left="5732" w:hanging="452"/>
      </w:pPr>
      <w:rPr>
        <w:rFonts w:hint="default"/>
      </w:rPr>
    </w:lvl>
    <w:lvl w:ilvl="7">
      <w:numFmt w:val="bullet"/>
      <w:lvlText w:val="•"/>
      <w:lvlJc w:val="left"/>
      <w:pPr>
        <w:ind w:left="6670" w:hanging="452"/>
      </w:pPr>
      <w:rPr>
        <w:rFonts w:hint="default"/>
      </w:rPr>
    </w:lvl>
    <w:lvl w:ilvl="8">
      <w:numFmt w:val="bullet"/>
      <w:lvlText w:val="•"/>
      <w:lvlJc w:val="left"/>
      <w:pPr>
        <w:ind w:left="7609" w:hanging="452"/>
      </w:pPr>
      <w:rPr>
        <w:rFonts w:hint="default"/>
      </w:rPr>
    </w:lvl>
  </w:abstractNum>
  <w:abstractNum w:abstractNumId="9" w15:restartNumberingAfterBreak="0">
    <w:nsid w:val="79EB7D81"/>
    <w:multiLevelType w:val="hybridMultilevel"/>
    <w:tmpl w:val="4EF6A636"/>
    <w:lvl w:ilvl="0" w:tplc="2E62D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EF5"/>
    <w:rsid w:val="00003669"/>
    <w:rsid w:val="00006A16"/>
    <w:rsid w:val="00011447"/>
    <w:rsid w:val="0001295F"/>
    <w:rsid w:val="000140E2"/>
    <w:rsid w:val="00016047"/>
    <w:rsid w:val="00016B5A"/>
    <w:rsid w:val="00021518"/>
    <w:rsid w:val="000224C3"/>
    <w:rsid w:val="00022A3C"/>
    <w:rsid w:val="00024865"/>
    <w:rsid w:val="00027CCE"/>
    <w:rsid w:val="0003116D"/>
    <w:rsid w:val="000312F2"/>
    <w:rsid w:val="00032DBE"/>
    <w:rsid w:val="000338E4"/>
    <w:rsid w:val="00041475"/>
    <w:rsid w:val="000420CB"/>
    <w:rsid w:val="000420CF"/>
    <w:rsid w:val="00042E66"/>
    <w:rsid w:val="00046F20"/>
    <w:rsid w:val="000531A7"/>
    <w:rsid w:val="00054FE7"/>
    <w:rsid w:val="000555A9"/>
    <w:rsid w:val="000576CC"/>
    <w:rsid w:val="000578EE"/>
    <w:rsid w:val="00062C04"/>
    <w:rsid w:val="00063452"/>
    <w:rsid w:val="00065BE5"/>
    <w:rsid w:val="000668E7"/>
    <w:rsid w:val="00072F74"/>
    <w:rsid w:val="00075144"/>
    <w:rsid w:val="0007603F"/>
    <w:rsid w:val="000802F1"/>
    <w:rsid w:val="00080825"/>
    <w:rsid w:val="00083FFE"/>
    <w:rsid w:val="00086CD1"/>
    <w:rsid w:val="00087347"/>
    <w:rsid w:val="00091CA1"/>
    <w:rsid w:val="000966EF"/>
    <w:rsid w:val="000A397F"/>
    <w:rsid w:val="000A3BA6"/>
    <w:rsid w:val="000A3DF8"/>
    <w:rsid w:val="000A3F72"/>
    <w:rsid w:val="000A7D4E"/>
    <w:rsid w:val="000B17C2"/>
    <w:rsid w:val="000C2D62"/>
    <w:rsid w:val="000D5FA5"/>
    <w:rsid w:val="000D79E4"/>
    <w:rsid w:val="000E3920"/>
    <w:rsid w:val="000E3C24"/>
    <w:rsid w:val="000F025F"/>
    <w:rsid w:val="000F14F9"/>
    <w:rsid w:val="000F208A"/>
    <w:rsid w:val="000F5CC0"/>
    <w:rsid w:val="000F7372"/>
    <w:rsid w:val="00102016"/>
    <w:rsid w:val="00103CFF"/>
    <w:rsid w:val="0010638F"/>
    <w:rsid w:val="00106D7F"/>
    <w:rsid w:val="00110C6B"/>
    <w:rsid w:val="001145D9"/>
    <w:rsid w:val="00134480"/>
    <w:rsid w:val="001420C5"/>
    <w:rsid w:val="0014327C"/>
    <w:rsid w:val="00147741"/>
    <w:rsid w:val="00155838"/>
    <w:rsid w:val="001565F5"/>
    <w:rsid w:val="001750E6"/>
    <w:rsid w:val="001772DC"/>
    <w:rsid w:val="00183482"/>
    <w:rsid w:val="0019060E"/>
    <w:rsid w:val="001907FF"/>
    <w:rsid w:val="001976F6"/>
    <w:rsid w:val="001A0E41"/>
    <w:rsid w:val="001B11B2"/>
    <w:rsid w:val="001B3190"/>
    <w:rsid w:val="001B3F27"/>
    <w:rsid w:val="001B4592"/>
    <w:rsid w:val="001C0157"/>
    <w:rsid w:val="001C1BB9"/>
    <w:rsid w:val="001D1560"/>
    <w:rsid w:val="001D5137"/>
    <w:rsid w:val="001D525B"/>
    <w:rsid w:val="001E0AF6"/>
    <w:rsid w:val="001E6469"/>
    <w:rsid w:val="001F2B44"/>
    <w:rsid w:val="001F4D93"/>
    <w:rsid w:val="001F661C"/>
    <w:rsid w:val="001F6758"/>
    <w:rsid w:val="00205EB4"/>
    <w:rsid w:val="00207018"/>
    <w:rsid w:val="00210239"/>
    <w:rsid w:val="002106E3"/>
    <w:rsid w:val="00215CBD"/>
    <w:rsid w:val="00225FEC"/>
    <w:rsid w:val="00227CA5"/>
    <w:rsid w:val="00232A8C"/>
    <w:rsid w:val="0023465B"/>
    <w:rsid w:val="00244AC5"/>
    <w:rsid w:val="00245697"/>
    <w:rsid w:val="002509B0"/>
    <w:rsid w:val="00251AC4"/>
    <w:rsid w:val="00252322"/>
    <w:rsid w:val="00253924"/>
    <w:rsid w:val="002607BA"/>
    <w:rsid w:val="002643FF"/>
    <w:rsid w:val="002658AB"/>
    <w:rsid w:val="0026592C"/>
    <w:rsid w:val="00265C02"/>
    <w:rsid w:val="002730C8"/>
    <w:rsid w:val="00274D62"/>
    <w:rsid w:val="002757F2"/>
    <w:rsid w:val="00280347"/>
    <w:rsid w:val="002843A6"/>
    <w:rsid w:val="00284683"/>
    <w:rsid w:val="0028664F"/>
    <w:rsid w:val="002866E5"/>
    <w:rsid w:val="00286BD2"/>
    <w:rsid w:val="0029010E"/>
    <w:rsid w:val="002905A3"/>
    <w:rsid w:val="00290C05"/>
    <w:rsid w:val="00294FB2"/>
    <w:rsid w:val="002964A5"/>
    <w:rsid w:val="00297428"/>
    <w:rsid w:val="00297C5A"/>
    <w:rsid w:val="002A0FA3"/>
    <w:rsid w:val="002A1AC7"/>
    <w:rsid w:val="002A4564"/>
    <w:rsid w:val="002A4840"/>
    <w:rsid w:val="002A5F5F"/>
    <w:rsid w:val="002B2AA4"/>
    <w:rsid w:val="002B6AE2"/>
    <w:rsid w:val="002C3A2E"/>
    <w:rsid w:val="002C73B4"/>
    <w:rsid w:val="002C7F18"/>
    <w:rsid w:val="002D0D68"/>
    <w:rsid w:val="002D3B6F"/>
    <w:rsid w:val="002D427A"/>
    <w:rsid w:val="002D5DB9"/>
    <w:rsid w:val="002D6B6B"/>
    <w:rsid w:val="002D72C6"/>
    <w:rsid w:val="002E7BDE"/>
    <w:rsid w:val="002F297A"/>
    <w:rsid w:val="0030159E"/>
    <w:rsid w:val="0030258E"/>
    <w:rsid w:val="00306AD2"/>
    <w:rsid w:val="00311CE6"/>
    <w:rsid w:val="003143F7"/>
    <w:rsid w:val="003168C1"/>
    <w:rsid w:val="0031731B"/>
    <w:rsid w:val="00320138"/>
    <w:rsid w:val="00324B63"/>
    <w:rsid w:val="00325D2B"/>
    <w:rsid w:val="003273A3"/>
    <w:rsid w:val="00330C36"/>
    <w:rsid w:val="00330E80"/>
    <w:rsid w:val="00334055"/>
    <w:rsid w:val="0034550F"/>
    <w:rsid w:val="00346713"/>
    <w:rsid w:val="00346FEB"/>
    <w:rsid w:val="0037639D"/>
    <w:rsid w:val="00376EE7"/>
    <w:rsid w:val="003832BA"/>
    <w:rsid w:val="003906BC"/>
    <w:rsid w:val="003910BF"/>
    <w:rsid w:val="00395831"/>
    <w:rsid w:val="00397BBD"/>
    <w:rsid w:val="003A3277"/>
    <w:rsid w:val="003A3608"/>
    <w:rsid w:val="003A4B09"/>
    <w:rsid w:val="003A59F7"/>
    <w:rsid w:val="003A76DA"/>
    <w:rsid w:val="003B1E44"/>
    <w:rsid w:val="003C1A7E"/>
    <w:rsid w:val="003D52E1"/>
    <w:rsid w:val="003D670B"/>
    <w:rsid w:val="003E3340"/>
    <w:rsid w:val="003E5AA9"/>
    <w:rsid w:val="00400EE9"/>
    <w:rsid w:val="00403357"/>
    <w:rsid w:val="004043C1"/>
    <w:rsid w:val="0040631D"/>
    <w:rsid w:val="00407B6C"/>
    <w:rsid w:val="00422347"/>
    <w:rsid w:val="004324F9"/>
    <w:rsid w:val="00440840"/>
    <w:rsid w:val="00441A9B"/>
    <w:rsid w:val="00444C27"/>
    <w:rsid w:val="00445E2A"/>
    <w:rsid w:val="00450344"/>
    <w:rsid w:val="004550D6"/>
    <w:rsid w:val="00455AEC"/>
    <w:rsid w:val="00465238"/>
    <w:rsid w:val="00467056"/>
    <w:rsid w:val="00482ACB"/>
    <w:rsid w:val="00484982"/>
    <w:rsid w:val="00487208"/>
    <w:rsid w:val="00493970"/>
    <w:rsid w:val="004A4EA1"/>
    <w:rsid w:val="004A5BE7"/>
    <w:rsid w:val="004A7CED"/>
    <w:rsid w:val="004B44BE"/>
    <w:rsid w:val="004B4660"/>
    <w:rsid w:val="004C0693"/>
    <w:rsid w:val="004C3948"/>
    <w:rsid w:val="004C3F18"/>
    <w:rsid w:val="004D0A5C"/>
    <w:rsid w:val="004D715C"/>
    <w:rsid w:val="004E07E9"/>
    <w:rsid w:val="004E1168"/>
    <w:rsid w:val="004E3B56"/>
    <w:rsid w:val="004E5E53"/>
    <w:rsid w:val="004F5E6E"/>
    <w:rsid w:val="005048D9"/>
    <w:rsid w:val="00511FC6"/>
    <w:rsid w:val="00515671"/>
    <w:rsid w:val="00517F5A"/>
    <w:rsid w:val="00527E2C"/>
    <w:rsid w:val="00535638"/>
    <w:rsid w:val="005358B7"/>
    <w:rsid w:val="00550092"/>
    <w:rsid w:val="0055012D"/>
    <w:rsid w:val="0055046C"/>
    <w:rsid w:val="0055155A"/>
    <w:rsid w:val="00551A56"/>
    <w:rsid w:val="005554D3"/>
    <w:rsid w:val="00556519"/>
    <w:rsid w:val="005574CD"/>
    <w:rsid w:val="00557852"/>
    <w:rsid w:val="00560225"/>
    <w:rsid w:val="00560468"/>
    <w:rsid w:val="00561C3A"/>
    <w:rsid w:val="00561DA4"/>
    <w:rsid w:val="005625F3"/>
    <w:rsid w:val="00565A3C"/>
    <w:rsid w:val="005661F0"/>
    <w:rsid w:val="00567A99"/>
    <w:rsid w:val="00570037"/>
    <w:rsid w:val="00570B18"/>
    <w:rsid w:val="00573859"/>
    <w:rsid w:val="0057591D"/>
    <w:rsid w:val="00581AB7"/>
    <w:rsid w:val="00584781"/>
    <w:rsid w:val="00586EB8"/>
    <w:rsid w:val="005910FE"/>
    <w:rsid w:val="00593B70"/>
    <w:rsid w:val="0059788C"/>
    <w:rsid w:val="00597ED8"/>
    <w:rsid w:val="005A44AD"/>
    <w:rsid w:val="005A4CF4"/>
    <w:rsid w:val="005A50D5"/>
    <w:rsid w:val="005A64AE"/>
    <w:rsid w:val="005A6C96"/>
    <w:rsid w:val="005C09DB"/>
    <w:rsid w:val="005C4B34"/>
    <w:rsid w:val="005C6C91"/>
    <w:rsid w:val="005D39B8"/>
    <w:rsid w:val="005E3D8A"/>
    <w:rsid w:val="005F310E"/>
    <w:rsid w:val="005F4977"/>
    <w:rsid w:val="006049FD"/>
    <w:rsid w:val="006111F4"/>
    <w:rsid w:val="006153BC"/>
    <w:rsid w:val="0061755C"/>
    <w:rsid w:val="006237F2"/>
    <w:rsid w:val="00634C4E"/>
    <w:rsid w:val="00640025"/>
    <w:rsid w:val="00642702"/>
    <w:rsid w:val="006427A4"/>
    <w:rsid w:val="006429E6"/>
    <w:rsid w:val="00644499"/>
    <w:rsid w:val="00646C46"/>
    <w:rsid w:val="00651D3C"/>
    <w:rsid w:val="0065396F"/>
    <w:rsid w:val="00656E69"/>
    <w:rsid w:val="0066234E"/>
    <w:rsid w:val="00665CE4"/>
    <w:rsid w:val="006739AB"/>
    <w:rsid w:val="00675990"/>
    <w:rsid w:val="00675E81"/>
    <w:rsid w:val="006766F4"/>
    <w:rsid w:val="00680089"/>
    <w:rsid w:val="00680C16"/>
    <w:rsid w:val="00683EAF"/>
    <w:rsid w:val="00684F74"/>
    <w:rsid w:val="00687514"/>
    <w:rsid w:val="00693BA5"/>
    <w:rsid w:val="006A4854"/>
    <w:rsid w:val="006B0511"/>
    <w:rsid w:val="006B39D8"/>
    <w:rsid w:val="006B402E"/>
    <w:rsid w:val="006D2048"/>
    <w:rsid w:val="006E1EF6"/>
    <w:rsid w:val="006E41AC"/>
    <w:rsid w:val="006F1207"/>
    <w:rsid w:val="006F1E82"/>
    <w:rsid w:val="00705FEF"/>
    <w:rsid w:val="00711029"/>
    <w:rsid w:val="0071140A"/>
    <w:rsid w:val="00713998"/>
    <w:rsid w:val="00715889"/>
    <w:rsid w:val="00715A36"/>
    <w:rsid w:val="00717F1E"/>
    <w:rsid w:val="007233D3"/>
    <w:rsid w:val="0072535E"/>
    <w:rsid w:val="00725757"/>
    <w:rsid w:val="007354D5"/>
    <w:rsid w:val="00742325"/>
    <w:rsid w:val="0074738D"/>
    <w:rsid w:val="007560F1"/>
    <w:rsid w:val="007619D5"/>
    <w:rsid w:val="00767222"/>
    <w:rsid w:val="007703A0"/>
    <w:rsid w:val="00770B36"/>
    <w:rsid w:val="0077134A"/>
    <w:rsid w:val="0078188D"/>
    <w:rsid w:val="00782C96"/>
    <w:rsid w:val="00782DFF"/>
    <w:rsid w:val="00783B53"/>
    <w:rsid w:val="00784B2C"/>
    <w:rsid w:val="007911E1"/>
    <w:rsid w:val="0079238D"/>
    <w:rsid w:val="007945FD"/>
    <w:rsid w:val="007A1C08"/>
    <w:rsid w:val="007A1DC6"/>
    <w:rsid w:val="007B2EBC"/>
    <w:rsid w:val="007B43B6"/>
    <w:rsid w:val="007C2F36"/>
    <w:rsid w:val="007C7EF1"/>
    <w:rsid w:val="007D493F"/>
    <w:rsid w:val="007E193A"/>
    <w:rsid w:val="007E6BCB"/>
    <w:rsid w:val="00812F84"/>
    <w:rsid w:val="0081469A"/>
    <w:rsid w:val="00814CAC"/>
    <w:rsid w:val="00821CCE"/>
    <w:rsid w:val="00825313"/>
    <w:rsid w:val="008313B7"/>
    <w:rsid w:val="0083195A"/>
    <w:rsid w:val="00836195"/>
    <w:rsid w:val="0084494F"/>
    <w:rsid w:val="008520A5"/>
    <w:rsid w:val="0086375D"/>
    <w:rsid w:val="008649DC"/>
    <w:rsid w:val="008657A4"/>
    <w:rsid w:val="0087388E"/>
    <w:rsid w:val="00884CA5"/>
    <w:rsid w:val="00890385"/>
    <w:rsid w:val="008A1BB5"/>
    <w:rsid w:val="008A1CBF"/>
    <w:rsid w:val="008A3C2C"/>
    <w:rsid w:val="008B4D52"/>
    <w:rsid w:val="008C00A2"/>
    <w:rsid w:val="008C013B"/>
    <w:rsid w:val="008C3B92"/>
    <w:rsid w:val="008C5D43"/>
    <w:rsid w:val="008D0BF4"/>
    <w:rsid w:val="008D1E4A"/>
    <w:rsid w:val="008E2F57"/>
    <w:rsid w:val="008E6CB1"/>
    <w:rsid w:val="008F3B26"/>
    <w:rsid w:val="008F4D1A"/>
    <w:rsid w:val="0090488F"/>
    <w:rsid w:val="0090622C"/>
    <w:rsid w:val="009070AF"/>
    <w:rsid w:val="00911470"/>
    <w:rsid w:val="00911895"/>
    <w:rsid w:val="00912AA0"/>
    <w:rsid w:val="00913E8A"/>
    <w:rsid w:val="0091699A"/>
    <w:rsid w:val="00917C1C"/>
    <w:rsid w:val="00921044"/>
    <w:rsid w:val="00924467"/>
    <w:rsid w:val="00925475"/>
    <w:rsid w:val="0092701D"/>
    <w:rsid w:val="00937293"/>
    <w:rsid w:val="0093758B"/>
    <w:rsid w:val="00943CCB"/>
    <w:rsid w:val="0094746E"/>
    <w:rsid w:val="009548B0"/>
    <w:rsid w:val="00960AA5"/>
    <w:rsid w:val="009629EA"/>
    <w:rsid w:val="00990DCC"/>
    <w:rsid w:val="00992C17"/>
    <w:rsid w:val="00993214"/>
    <w:rsid w:val="009A3A59"/>
    <w:rsid w:val="009A456F"/>
    <w:rsid w:val="009A61E3"/>
    <w:rsid w:val="009A67B9"/>
    <w:rsid w:val="009A728E"/>
    <w:rsid w:val="009B0AFE"/>
    <w:rsid w:val="009B71A5"/>
    <w:rsid w:val="009C3D07"/>
    <w:rsid w:val="009C7976"/>
    <w:rsid w:val="009D458E"/>
    <w:rsid w:val="009D47AF"/>
    <w:rsid w:val="009E109C"/>
    <w:rsid w:val="009E3BEA"/>
    <w:rsid w:val="009E3C58"/>
    <w:rsid w:val="009E3EE5"/>
    <w:rsid w:val="009E6CD6"/>
    <w:rsid w:val="009F77C7"/>
    <w:rsid w:val="009F7991"/>
    <w:rsid w:val="009F7E8B"/>
    <w:rsid w:val="00A033D9"/>
    <w:rsid w:val="00A03C00"/>
    <w:rsid w:val="00A0511B"/>
    <w:rsid w:val="00A056AD"/>
    <w:rsid w:val="00A10C32"/>
    <w:rsid w:val="00A12A08"/>
    <w:rsid w:val="00A204AD"/>
    <w:rsid w:val="00A2429B"/>
    <w:rsid w:val="00A31209"/>
    <w:rsid w:val="00A33B9B"/>
    <w:rsid w:val="00A40B83"/>
    <w:rsid w:val="00A40E74"/>
    <w:rsid w:val="00A41092"/>
    <w:rsid w:val="00A42683"/>
    <w:rsid w:val="00A516DE"/>
    <w:rsid w:val="00A53EA4"/>
    <w:rsid w:val="00A541B7"/>
    <w:rsid w:val="00A54BC2"/>
    <w:rsid w:val="00A604D0"/>
    <w:rsid w:val="00A62B4E"/>
    <w:rsid w:val="00A63ADF"/>
    <w:rsid w:val="00A659B0"/>
    <w:rsid w:val="00A66617"/>
    <w:rsid w:val="00A67ADB"/>
    <w:rsid w:val="00A8111B"/>
    <w:rsid w:val="00A82A73"/>
    <w:rsid w:val="00AA3486"/>
    <w:rsid w:val="00AA3DC1"/>
    <w:rsid w:val="00AA5755"/>
    <w:rsid w:val="00AA78A6"/>
    <w:rsid w:val="00AB2DC0"/>
    <w:rsid w:val="00AB3292"/>
    <w:rsid w:val="00AB7730"/>
    <w:rsid w:val="00AC11A4"/>
    <w:rsid w:val="00AC332A"/>
    <w:rsid w:val="00AC4DE5"/>
    <w:rsid w:val="00AD0AFB"/>
    <w:rsid w:val="00AD7B0E"/>
    <w:rsid w:val="00AE0461"/>
    <w:rsid w:val="00AE3C96"/>
    <w:rsid w:val="00AE6155"/>
    <w:rsid w:val="00AF4017"/>
    <w:rsid w:val="00AF43D7"/>
    <w:rsid w:val="00B0289B"/>
    <w:rsid w:val="00B02D36"/>
    <w:rsid w:val="00B0339B"/>
    <w:rsid w:val="00B0417D"/>
    <w:rsid w:val="00B04996"/>
    <w:rsid w:val="00B17CEE"/>
    <w:rsid w:val="00B22A5A"/>
    <w:rsid w:val="00B23A3E"/>
    <w:rsid w:val="00B23C79"/>
    <w:rsid w:val="00B245FA"/>
    <w:rsid w:val="00B31361"/>
    <w:rsid w:val="00B32D12"/>
    <w:rsid w:val="00B33551"/>
    <w:rsid w:val="00B36A69"/>
    <w:rsid w:val="00B41BE5"/>
    <w:rsid w:val="00B47C87"/>
    <w:rsid w:val="00B51046"/>
    <w:rsid w:val="00B51513"/>
    <w:rsid w:val="00B5233B"/>
    <w:rsid w:val="00B53B05"/>
    <w:rsid w:val="00B5596C"/>
    <w:rsid w:val="00B56DAD"/>
    <w:rsid w:val="00B60EB9"/>
    <w:rsid w:val="00B624B0"/>
    <w:rsid w:val="00B713F1"/>
    <w:rsid w:val="00B71A93"/>
    <w:rsid w:val="00B75B17"/>
    <w:rsid w:val="00B778E7"/>
    <w:rsid w:val="00B91435"/>
    <w:rsid w:val="00B935AC"/>
    <w:rsid w:val="00B953F2"/>
    <w:rsid w:val="00BA10CE"/>
    <w:rsid w:val="00BA3BCD"/>
    <w:rsid w:val="00BA6511"/>
    <w:rsid w:val="00BB3030"/>
    <w:rsid w:val="00BB3AE7"/>
    <w:rsid w:val="00BB4E73"/>
    <w:rsid w:val="00BC537F"/>
    <w:rsid w:val="00BD3117"/>
    <w:rsid w:val="00BD3A26"/>
    <w:rsid w:val="00BD3B74"/>
    <w:rsid w:val="00BD493A"/>
    <w:rsid w:val="00BD5D5B"/>
    <w:rsid w:val="00BD6404"/>
    <w:rsid w:val="00BD6DDA"/>
    <w:rsid w:val="00BE0DC6"/>
    <w:rsid w:val="00BE4A97"/>
    <w:rsid w:val="00BE5470"/>
    <w:rsid w:val="00BE78A9"/>
    <w:rsid w:val="00BF07AC"/>
    <w:rsid w:val="00BF247B"/>
    <w:rsid w:val="00BF7A56"/>
    <w:rsid w:val="00C07FEC"/>
    <w:rsid w:val="00C1295F"/>
    <w:rsid w:val="00C17754"/>
    <w:rsid w:val="00C22A03"/>
    <w:rsid w:val="00C24124"/>
    <w:rsid w:val="00C26458"/>
    <w:rsid w:val="00C26AE0"/>
    <w:rsid w:val="00C34CB7"/>
    <w:rsid w:val="00C34E05"/>
    <w:rsid w:val="00C4107D"/>
    <w:rsid w:val="00C45B44"/>
    <w:rsid w:val="00C47C35"/>
    <w:rsid w:val="00C51036"/>
    <w:rsid w:val="00C541B9"/>
    <w:rsid w:val="00C56EB0"/>
    <w:rsid w:val="00C62BFF"/>
    <w:rsid w:val="00C648C9"/>
    <w:rsid w:val="00C65FD9"/>
    <w:rsid w:val="00C66D0A"/>
    <w:rsid w:val="00C72107"/>
    <w:rsid w:val="00C72E88"/>
    <w:rsid w:val="00C87655"/>
    <w:rsid w:val="00C974D4"/>
    <w:rsid w:val="00CA0F1A"/>
    <w:rsid w:val="00CA19FA"/>
    <w:rsid w:val="00CA4E52"/>
    <w:rsid w:val="00CA7467"/>
    <w:rsid w:val="00CB17F2"/>
    <w:rsid w:val="00CB1F67"/>
    <w:rsid w:val="00CB286D"/>
    <w:rsid w:val="00CB6E96"/>
    <w:rsid w:val="00CB72D9"/>
    <w:rsid w:val="00CC248B"/>
    <w:rsid w:val="00CC2A17"/>
    <w:rsid w:val="00CC4004"/>
    <w:rsid w:val="00CC6058"/>
    <w:rsid w:val="00CD00E5"/>
    <w:rsid w:val="00CD0BE9"/>
    <w:rsid w:val="00CD1655"/>
    <w:rsid w:val="00CD46B2"/>
    <w:rsid w:val="00CD4D02"/>
    <w:rsid w:val="00CD6E11"/>
    <w:rsid w:val="00CE76A8"/>
    <w:rsid w:val="00CF3112"/>
    <w:rsid w:val="00CF51B4"/>
    <w:rsid w:val="00CF7D77"/>
    <w:rsid w:val="00D01EF5"/>
    <w:rsid w:val="00D041F8"/>
    <w:rsid w:val="00D05BE8"/>
    <w:rsid w:val="00D0656F"/>
    <w:rsid w:val="00D07AA3"/>
    <w:rsid w:val="00D13155"/>
    <w:rsid w:val="00D209A4"/>
    <w:rsid w:val="00D21BC3"/>
    <w:rsid w:val="00D236C5"/>
    <w:rsid w:val="00D24DDA"/>
    <w:rsid w:val="00D258EE"/>
    <w:rsid w:val="00D34D66"/>
    <w:rsid w:val="00D45F5F"/>
    <w:rsid w:val="00D50CFE"/>
    <w:rsid w:val="00D51902"/>
    <w:rsid w:val="00D557DD"/>
    <w:rsid w:val="00D559C9"/>
    <w:rsid w:val="00D55DDA"/>
    <w:rsid w:val="00D61471"/>
    <w:rsid w:val="00D6181E"/>
    <w:rsid w:val="00D648A0"/>
    <w:rsid w:val="00D64CE4"/>
    <w:rsid w:val="00D678B2"/>
    <w:rsid w:val="00D707C3"/>
    <w:rsid w:val="00D7249E"/>
    <w:rsid w:val="00D74704"/>
    <w:rsid w:val="00D75A1B"/>
    <w:rsid w:val="00D76272"/>
    <w:rsid w:val="00D77B43"/>
    <w:rsid w:val="00D979E5"/>
    <w:rsid w:val="00DA15B8"/>
    <w:rsid w:val="00DA3CE2"/>
    <w:rsid w:val="00DA4768"/>
    <w:rsid w:val="00DA54D0"/>
    <w:rsid w:val="00DA73B5"/>
    <w:rsid w:val="00DB1CCE"/>
    <w:rsid w:val="00DB38E9"/>
    <w:rsid w:val="00DC0D53"/>
    <w:rsid w:val="00DC1868"/>
    <w:rsid w:val="00DC6C10"/>
    <w:rsid w:val="00DD2E3C"/>
    <w:rsid w:val="00DE070E"/>
    <w:rsid w:val="00DE2F58"/>
    <w:rsid w:val="00DE2FCC"/>
    <w:rsid w:val="00DE39BC"/>
    <w:rsid w:val="00DF4CF2"/>
    <w:rsid w:val="00E02784"/>
    <w:rsid w:val="00E03A7F"/>
    <w:rsid w:val="00E11E69"/>
    <w:rsid w:val="00E1210B"/>
    <w:rsid w:val="00E13337"/>
    <w:rsid w:val="00E167F8"/>
    <w:rsid w:val="00E17E9A"/>
    <w:rsid w:val="00E22536"/>
    <w:rsid w:val="00E23464"/>
    <w:rsid w:val="00E2419C"/>
    <w:rsid w:val="00E244A7"/>
    <w:rsid w:val="00E30471"/>
    <w:rsid w:val="00E32A35"/>
    <w:rsid w:val="00E33444"/>
    <w:rsid w:val="00E35EAE"/>
    <w:rsid w:val="00E362C9"/>
    <w:rsid w:val="00E47785"/>
    <w:rsid w:val="00E478A4"/>
    <w:rsid w:val="00E53CA8"/>
    <w:rsid w:val="00E6294F"/>
    <w:rsid w:val="00E6471D"/>
    <w:rsid w:val="00E64F40"/>
    <w:rsid w:val="00E67F06"/>
    <w:rsid w:val="00E72F04"/>
    <w:rsid w:val="00E77F44"/>
    <w:rsid w:val="00E80593"/>
    <w:rsid w:val="00E84ACB"/>
    <w:rsid w:val="00E874D7"/>
    <w:rsid w:val="00E925A6"/>
    <w:rsid w:val="00E967D8"/>
    <w:rsid w:val="00EB1D51"/>
    <w:rsid w:val="00EC368B"/>
    <w:rsid w:val="00EC68C3"/>
    <w:rsid w:val="00EC7E49"/>
    <w:rsid w:val="00ED0640"/>
    <w:rsid w:val="00ED392E"/>
    <w:rsid w:val="00EE05D6"/>
    <w:rsid w:val="00EE2793"/>
    <w:rsid w:val="00EE5BD7"/>
    <w:rsid w:val="00EF0368"/>
    <w:rsid w:val="00EF247C"/>
    <w:rsid w:val="00EF2CC4"/>
    <w:rsid w:val="00EF3EDB"/>
    <w:rsid w:val="00EF3F78"/>
    <w:rsid w:val="00F0574D"/>
    <w:rsid w:val="00F05F79"/>
    <w:rsid w:val="00F07CE2"/>
    <w:rsid w:val="00F10C29"/>
    <w:rsid w:val="00F16BFF"/>
    <w:rsid w:val="00F32816"/>
    <w:rsid w:val="00F3663E"/>
    <w:rsid w:val="00F366C5"/>
    <w:rsid w:val="00F41348"/>
    <w:rsid w:val="00F419D9"/>
    <w:rsid w:val="00F4235A"/>
    <w:rsid w:val="00F42AC6"/>
    <w:rsid w:val="00F42D78"/>
    <w:rsid w:val="00F44860"/>
    <w:rsid w:val="00F5513E"/>
    <w:rsid w:val="00F60769"/>
    <w:rsid w:val="00F60B8F"/>
    <w:rsid w:val="00F67B0C"/>
    <w:rsid w:val="00F67C68"/>
    <w:rsid w:val="00F80719"/>
    <w:rsid w:val="00F81E0C"/>
    <w:rsid w:val="00F83EB8"/>
    <w:rsid w:val="00F86C2E"/>
    <w:rsid w:val="00F95E24"/>
    <w:rsid w:val="00F968E8"/>
    <w:rsid w:val="00FB4384"/>
    <w:rsid w:val="00FC5208"/>
    <w:rsid w:val="00FC54F0"/>
    <w:rsid w:val="00FC5FD0"/>
    <w:rsid w:val="00FD2D64"/>
    <w:rsid w:val="00FD4A68"/>
    <w:rsid w:val="00FD6818"/>
    <w:rsid w:val="00FE0496"/>
    <w:rsid w:val="00FE24DF"/>
    <w:rsid w:val="00FE327D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DBFD1D"/>
  <w15:docId w15:val="{5D822C1D-FCBE-47AE-8084-9D15E97E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F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CA7467"/>
    <w:pPr>
      <w:keepNext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B0289B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467"/>
    <w:rPr>
      <w:sz w:val="20"/>
      <w:szCs w:val="20"/>
    </w:rPr>
  </w:style>
  <w:style w:type="paragraph" w:styleId="a5">
    <w:name w:val="Title"/>
    <w:basedOn w:val="a"/>
    <w:qFormat/>
    <w:rsid w:val="00CA7467"/>
    <w:pPr>
      <w:autoSpaceDE/>
      <w:autoSpaceDN/>
      <w:jc w:val="center"/>
    </w:pPr>
    <w:rPr>
      <w:rFonts w:ascii="Times Kaz" w:hAnsi="Times Kaz" w:cs="Times New Roman"/>
      <w:b/>
      <w:sz w:val="28"/>
      <w:szCs w:val="20"/>
      <w:lang w:eastAsia="ko-KR"/>
    </w:rPr>
  </w:style>
  <w:style w:type="paragraph" w:customStyle="1" w:styleId="a6">
    <w:name w:val="Îáû÷íûé"/>
    <w:rsid w:val="00CA7467"/>
    <w:pPr>
      <w:widowControl w:val="0"/>
    </w:pPr>
  </w:style>
  <w:style w:type="paragraph" w:customStyle="1" w:styleId="a7">
    <w:name w:val="òàòà"/>
    <w:basedOn w:val="a"/>
    <w:rsid w:val="00CA7467"/>
    <w:pPr>
      <w:widowControl w:val="0"/>
      <w:autoSpaceDE/>
      <w:autoSpaceDN/>
      <w:ind w:left="-567" w:right="-483"/>
      <w:jc w:val="both"/>
    </w:pPr>
    <w:rPr>
      <w:rFonts w:ascii="Times New Roman" w:hAnsi="Times New Roman" w:cs="Times New Roman"/>
      <w:szCs w:val="20"/>
    </w:rPr>
  </w:style>
  <w:style w:type="table" w:styleId="10">
    <w:name w:val="Table Grid 1"/>
    <w:basedOn w:val="a1"/>
    <w:rsid w:val="00CA7467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rsid w:val="00D707C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07C3"/>
  </w:style>
  <w:style w:type="paragraph" w:styleId="aa">
    <w:name w:val="header"/>
    <w:basedOn w:val="a"/>
    <w:link w:val="ab"/>
    <w:uiPriority w:val="99"/>
    <w:rsid w:val="009F7E8B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12A08"/>
    <w:pPr>
      <w:tabs>
        <w:tab w:val="left" w:pos="567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B0289B"/>
    <w:rPr>
      <w:rFonts w:ascii="Calibri" w:eastAsia="Times New Roman" w:hAnsi="Calibri" w:cs="Times New Roman"/>
      <w:sz w:val="24"/>
      <w:szCs w:val="24"/>
    </w:rPr>
  </w:style>
  <w:style w:type="paragraph" w:styleId="ad">
    <w:name w:val="Body Text Indent"/>
    <w:basedOn w:val="a"/>
    <w:link w:val="ae"/>
    <w:unhideWhenUsed/>
    <w:rsid w:val="00B0289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0289B"/>
    <w:rPr>
      <w:rFonts w:ascii="Arial" w:hAnsi="Arial" w:cs="Arial"/>
      <w:sz w:val="24"/>
      <w:szCs w:val="24"/>
    </w:rPr>
  </w:style>
  <w:style w:type="paragraph" w:customStyle="1" w:styleId="af">
    <w:name w:val="Утверждаю"/>
    <w:basedOn w:val="a"/>
    <w:rsid w:val="00B0289B"/>
    <w:pPr>
      <w:suppressAutoHyphens/>
      <w:autoSpaceDE/>
      <w:autoSpaceDN/>
      <w:ind w:left="4395" w:right="-74"/>
    </w:pPr>
    <w:rPr>
      <w:rFonts w:cs="Times New Roman"/>
      <w:szCs w:val="20"/>
    </w:rPr>
  </w:style>
  <w:style w:type="character" w:styleId="af0">
    <w:name w:val="Hyperlink"/>
    <w:rsid w:val="00B0289B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D3B6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it-IT" w:eastAsia="en-US"/>
    </w:rPr>
  </w:style>
  <w:style w:type="character" w:customStyle="1" w:styleId="a4">
    <w:name w:val="Основной текст Знак"/>
    <w:link w:val="a3"/>
    <w:rsid w:val="003A3608"/>
    <w:rPr>
      <w:rFonts w:ascii="Arial" w:hAnsi="Arial" w:cs="Arial"/>
    </w:rPr>
  </w:style>
  <w:style w:type="character" w:styleId="af2">
    <w:name w:val="annotation reference"/>
    <w:uiPriority w:val="99"/>
    <w:semiHidden/>
    <w:unhideWhenUsed/>
    <w:rsid w:val="0064002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4002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640025"/>
    <w:rPr>
      <w:rFonts w:ascii="Arial" w:hAnsi="Arial" w:cs="Arial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4002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40025"/>
    <w:rPr>
      <w:rFonts w:ascii="Arial" w:hAnsi="Arial" w:cs="Arial"/>
      <w:b/>
      <w:bCs/>
      <w:lang w:val="ru-RU" w:eastAsia="ru-RU"/>
    </w:rPr>
  </w:style>
  <w:style w:type="paragraph" w:styleId="af7">
    <w:name w:val="Revision"/>
    <w:hidden/>
    <w:uiPriority w:val="99"/>
    <w:semiHidden/>
    <w:rsid w:val="00640025"/>
    <w:rPr>
      <w:rFonts w:ascii="Arial" w:hAnsi="Arial" w:cs="Arial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4002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640025"/>
    <w:rPr>
      <w:rFonts w:ascii="Tahoma" w:hAnsi="Tahoma" w:cs="Tahoma"/>
      <w:sz w:val="16"/>
      <w:szCs w:val="16"/>
      <w:lang w:val="ru-RU" w:eastAsia="ru-RU"/>
    </w:rPr>
  </w:style>
  <w:style w:type="character" w:customStyle="1" w:styleId="TEXTBOX">
    <w:name w:val="TEXT BOX"/>
    <w:rsid w:val="00884CA5"/>
    <w:rPr>
      <w:rFonts w:ascii="Arial" w:hAnsi="Arial"/>
      <w:sz w:val="10"/>
      <w:szCs w:val="10"/>
    </w:rPr>
  </w:style>
  <w:style w:type="paragraph" w:customStyle="1" w:styleId="11">
    <w:name w:val="Заголовок 11"/>
    <w:basedOn w:val="a"/>
    <w:uiPriority w:val="1"/>
    <w:qFormat/>
    <w:rsid w:val="00CD0BE9"/>
    <w:pPr>
      <w:widowControl w:val="0"/>
      <w:ind w:left="588" w:hanging="360"/>
      <w:outlineLvl w:val="1"/>
    </w:pPr>
    <w:rPr>
      <w:rFonts w:ascii="Times New Roman" w:hAnsi="Times New Roman" w:cs="Times New Roman"/>
      <w:b/>
      <w:bCs/>
      <w:lang w:val="en-US" w:eastAsia="en-US"/>
    </w:rPr>
  </w:style>
  <w:style w:type="character" w:customStyle="1" w:styleId="12">
    <w:name w:val="Неразрешенное упоминание1"/>
    <w:uiPriority w:val="99"/>
    <w:semiHidden/>
    <w:unhideWhenUsed/>
    <w:rsid w:val="004C3948"/>
    <w:rPr>
      <w:color w:val="605E5C"/>
      <w:shd w:val="clear" w:color="auto" w:fill="E1DFDD"/>
    </w:rPr>
  </w:style>
  <w:style w:type="character" w:customStyle="1" w:styleId="ab">
    <w:name w:val="Верхний колонтитул Знак"/>
    <w:link w:val="aa"/>
    <w:uiPriority w:val="99"/>
    <w:rsid w:val="005048D9"/>
    <w:rPr>
      <w:rFonts w:ascii="Arial" w:hAnsi="Arial" w:cs="Arial"/>
      <w:sz w:val="24"/>
      <w:szCs w:val="24"/>
    </w:rPr>
  </w:style>
  <w:style w:type="paragraph" w:styleId="afa">
    <w:name w:val="No Spacing"/>
    <w:uiPriority w:val="1"/>
    <w:qFormat/>
    <w:rsid w:val="002730C8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Неразрешенное упоминание2"/>
    <w:uiPriority w:val="99"/>
    <w:semiHidden/>
    <w:unhideWhenUsed/>
    <w:rsid w:val="007E193A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40E74"/>
    <w:rPr>
      <w:color w:val="605E5C"/>
      <w:shd w:val="clear" w:color="auto" w:fill="E1DFDD"/>
    </w:rPr>
  </w:style>
  <w:style w:type="paragraph" w:customStyle="1" w:styleId="ConsPlusNormal">
    <w:name w:val="ConsPlusNormal"/>
    <w:rsid w:val="001D525B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mailto:info@nfpharma.k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mailto:y.joshi@seruminstitut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dda.k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ABDD-B04B-49A2-8386-B5FBC796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ЭКСПЕРТИЗА ПРОВЕДЕНА</vt:lpstr>
      <vt:lpstr>ЭКСПЕРТИЗА ПРОВЕДЕНА</vt:lpstr>
    </vt:vector>
  </TitlesOfParts>
  <Company>GlaxoSmithKline</Company>
  <LinksUpToDate>false</LinksUpToDate>
  <CharactersWithSpaces>12123</CharactersWithSpaces>
  <SharedDoc>false</SharedDoc>
  <HLinks>
    <vt:vector size="24" baseType="variant">
      <vt:variant>
        <vt:i4>3866653</vt:i4>
      </vt:variant>
      <vt:variant>
        <vt:i4>9</vt:i4>
      </vt:variant>
      <vt:variant>
        <vt:i4>0</vt:i4>
      </vt:variant>
      <vt:variant>
        <vt:i4>5</vt:i4>
      </vt:variant>
      <vt:variant>
        <vt:lpwstr>mailto:ram@nfpharma.kz</vt:lpwstr>
      </vt:variant>
      <vt:variant>
        <vt:lpwstr/>
      </vt:variant>
      <vt:variant>
        <vt:i4>5242981</vt:i4>
      </vt:variant>
      <vt:variant>
        <vt:i4>6</vt:i4>
      </vt:variant>
      <vt:variant>
        <vt:i4>0</vt:i4>
      </vt:variant>
      <vt:variant>
        <vt:i4>5</vt:i4>
      </vt:variant>
      <vt:variant>
        <vt:lpwstr>mailto:serimexports@seruminstitute.com</vt:lpwstr>
      </vt:variant>
      <vt:variant>
        <vt:lpwstr/>
      </vt:variant>
      <vt:variant>
        <vt:i4>5243001</vt:i4>
      </vt:variant>
      <vt:variant>
        <vt:i4>3</vt:i4>
      </vt:variant>
      <vt:variant>
        <vt:i4>0</vt:i4>
      </vt:variant>
      <vt:variant>
        <vt:i4>5</vt:i4>
      </vt:variant>
      <vt:variant>
        <vt:lpwstr>mailto:serumexports@seruminstitute.com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ПРОВЕДЕНА</dc:title>
  <dc:creator>us68639</dc:creator>
  <cp:lastModifiedBy>NF-Mgr4</cp:lastModifiedBy>
  <cp:revision>11</cp:revision>
  <cp:lastPrinted>2019-12-10T08:34:00Z</cp:lastPrinted>
  <dcterms:created xsi:type="dcterms:W3CDTF">2021-01-26T09:58:00Z</dcterms:created>
  <dcterms:modified xsi:type="dcterms:W3CDTF">2021-11-04T09:04:00Z</dcterms:modified>
</cp:coreProperties>
</file>