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449A" w14:textId="77777777" w:rsidR="00161092" w:rsidRDefault="00161092" w:rsidP="00B02F65">
      <w:pPr>
        <w:spacing w:after="0" w:line="240" w:lineRule="auto"/>
        <w:jc w:val="both"/>
        <w:rPr>
          <w:rFonts w:ascii="Times New Roman" w:eastAsia="Times New Roman" w:hAnsi="Times New Roman"/>
          <w:b/>
          <w:i/>
          <w:sz w:val="28"/>
          <w:szCs w:val="28"/>
          <w:lang w:val="uk-UA" w:eastAsia="ru-RU"/>
        </w:rPr>
      </w:pPr>
    </w:p>
    <w:tbl>
      <w:tblPr>
        <w:tblW w:w="14283" w:type="dxa"/>
        <w:tblLayout w:type="fixed"/>
        <w:tblLook w:val="04A0" w:firstRow="1" w:lastRow="0" w:firstColumn="1" w:lastColumn="0" w:noHBand="0" w:noVBand="1"/>
      </w:tblPr>
      <w:tblGrid>
        <w:gridCol w:w="5211"/>
        <w:gridCol w:w="4536"/>
        <w:gridCol w:w="4536"/>
      </w:tblGrid>
      <w:tr w:rsidR="00161092" w:rsidRPr="00C16AC0" w14:paraId="63B497B4" w14:textId="77777777" w:rsidTr="00C027AA">
        <w:tc>
          <w:tcPr>
            <w:tcW w:w="5211" w:type="dxa"/>
            <w:hideMark/>
          </w:tcPr>
          <w:p w14:paraId="6C56A54E" w14:textId="77777777" w:rsidR="00161092" w:rsidRPr="003A0555" w:rsidRDefault="00161092" w:rsidP="00161092">
            <w:pPr>
              <w:widowControl w:val="0"/>
              <w:spacing w:after="0" w:line="240" w:lineRule="auto"/>
              <w:rPr>
                <w:rFonts w:ascii="Times New Roman" w:eastAsia="Batang" w:hAnsi="Times New Roman"/>
                <w:snapToGrid w:val="0"/>
                <w:sz w:val="28"/>
                <w:szCs w:val="28"/>
                <w:lang w:val="kk-KZ" w:eastAsia="ru-RU"/>
              </w:rPr>
            </w:pPr>
          </w:p>
        </w:tc>
        <w:tc>
          <w:tcPr>
            <w:tcW w:w="4536" w:type="dxa"/>
            <w:hideMark/>
          </w:tcPr>
          <w:p w14:paraId="5310879D" w14:textId="777777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УТВЕРЖДЕНА</w:t>
            </w:r>
          </w:p>
          <w:p w14:paraId="3C2F69A0" w14:textId="777777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 xml:space="preserve">Приказом Председателя </w:t>
            </w:r>
          </w:p>
          <w:p w14:paraId="01F405EE" w14:textId="0B883078"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РГУ «Комитет</w:t>
            </w:r>
            <w:r w:rsidR="009F0F46" w:rsidRPr="00C16AC0">
              <w:rPr>
                <w:rFonts w:ascii="Times New Roman" w:eastAsia="Times New Roman" w:hAnsi="Times New Roman"/>
                <w:snapToGrid w:val="0"/>
                <w:sz w:val="28"/>
                <w:szCs w:val="28"/>
                <w:lang w:eastAsia="ru-RU"/>
              </w:rPr>
              <w:t xml:space="preserve"> </w:t>
            </w:r>
            <w:r w:rsidRPr="00C16AC0">
              <w:rPr>
                <w:rFonts w:ascii="Times New Roman" w:eastAsia="Times New Roman" w:hAnsi="Times New Roman"/>
                <w:snapToGrid w:val="0"/>
                <w:sz w:val="28"/>
                <w:szCs w:val="28"/>
                <w:lang w:eastAsia="ru-RU"/>
              </w:rPr>
              <w:t xml:space="preserve">медицинского и фармацевтического контроля  Министерства здравоохранения </w:t>
            </w:r>
          </w:p>
          <w:p w14:paraId="09943708" w14:textId="777777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Республики Казахстан»</w:t>
            </w:r>
          </w:p>
          <w:p w14:paraId="160FF0E6" w14:textId="17C36C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от «</w:t>
            </w:r>
            <w:r w:rsidR="00F9792F" w:rsidRPr="00C16AC0">
              <w:rPr>
                <w:rFonts w:ascii="Times New Roman" w:eastAsia="Times New Roman" w:hAnsi="Times New Roman"/>
                <w:snapToGrid w:val="0"/>
                <w:sz w:val="28"/>
                <w:szCs w:val="28"/>
                <w:lang w:val="ru-KZ" w:eastAsia="ru-RU"/>
              </w:rPr>
              <w:t>___</w:t>
            </w:r>
            <w:r w:rsidRPr="00C16AC0">
              <w:rPr>
                <w:rFonts w:ascii="Times New Roman" w:eastAsia="Times New Roman" w:hAnsi="Times New Roman"/>
                <w:snapToGrid w:val="0"/>
                <w:sz w:val="28"/>
                <w:szCs w:val="28"/>
                <w:lang w:eastAsia="ru-RU"/>
              </w:rPr>
              <w:t>»</w:t>
            </w:r>
            <w:r w:rsidR="00C44C0D" w:rsidRPr="00C16AC0">
              <w:rPr>
                <w:rFonts w:ascii="Times New Roman" w:eastAsia="Times New Roman" w:hAnsi="Times New Roman"/>
                <w:snapToGrid w:val="0"/>
                <w:sz w:val="28"/>
                <w:szCs w:val="28"/>
                <w:lang w:val="ru-KZ" w:eastAsia="ru-RU"/>
              </w:rPr>
              <w:t xml:space="preserve"> </w:t>
            </w:r>
            <w:r w:rsidR="00F9792F" w:rsidRPr="00C16AC0">
              <w:rPr>
                <w:rFonts w:ascii="Times New Roman" w:eastAsia="Times New Roman" w:hAnsi="Times New Roman"/>
                <w:snapToGrid w:val="0"/>
                <w:sz w:val="28"/>
                <w:szCs w:val="28"/>
                <w:lang w:val="ru-KZ" w:eastAsia="ru-RU"/>
              </w:rPr>
              <w:t>______</w:t>
            </w:r>
            <w:r w:rsidRPr="00C16AC0">
              <w:rPr>
                <w:rFonts w:ascii="Times New Roman" w:eastAsia="Times New Roman" w:hAnsi="Times New Roman"/>
                <w:snapToGrid w:val="0"/>
                <w:sz w:val="28"/>
                <w:szCs w:val="28"/>
                <w:lang w:eastAsia="ru-RU"/>
              </w:rPr>
              <w:t>2</w:t>
            </w:r>
            <w:r w:rsidR="00C44C0D" w:rsidRPr="00C16AC0">
              <w:rPr>
                <w:rFonts w:ascii="Times New Roman" w:eastAsia="Times New Roman" w:hAnsi="Times New Roman"/>
                <w:snapToGrid w:val="0"/>
                <w:sz w:val="28"/>
                <w:szCs w:val="28"/>
                <w:lang w:val="ru-KZ" w:eastAsia="ru-RU"/>
              </w:rPr>
              <w:t>02</w:t>
            </w:r>
            <w:r w:rsidR="00B36D68" w:rsidRPr="00C16AC0">
              <w:rPr>
                <w:rFonts w:ascii="Times New Roman" w:eastAsia="Times New Roman" w:hAnsi="Times New Roman"/>
                <w:snapToGrid w:val="0"/>
                <w:sz w:val="28"/>
                <w:szCs w:val="28"/>
                <w:lang w:val="en-US" w:eastAsia="ru-RU"/>
              </w:rPr>
              <w:t xml:space="preserve">1 </w:t>
            </w:r>
            <w:r w:rsidRPr="00C16AC0">
              <w:rPr>
                <w:rFonts w:ascii="Times New Roman" w:eastAsia="Times New Roman" w:hAnsi="Times New Roman"/>
                <w:snapToGrid w:val="0"/>
                <w:sz w:val="28"/>
                <w:szCs w:val="28"/>
                <w:lang w:eastAsia="ru-RU"/>
              </w:rPr>
              <w:t>г.</w:t>
            </w:r>
          </w:p>
          <w:p w14:paraId="7C995A7E" w14:textId="1168F5DA" w:rsidR="00161092" w:rsidRPr="00C16AC0" w:rsidRDefault="00F9792F" w:rsidP="00EE3CAE">
            <w:pPr>
              <w:widowControl w:val="0"/>
              <w:spacing w:after="0" w:line="240" w:lineRule="auto"/>
              <w:rPr>
                <w:rFonts w:ascii="Times New Roman" w:eastAsia="Batang" w:hAnsi="Times New Roman"/>
                <w:snapToGrid w:val="0"/>
                <w:sz w:val="28"/>
                <w:szCs w:val="28"/>
                <w:lang w:val="ru-KZ" w:eastAsia="ru-RU"/>
              </w:rPr>
            </w:pPr>
            <w:r w:rsidRPr="00C16AC0">
              <w:rPr>
                <w:rFonts w:ascii="Times New Roman" w:eastAsia="Times New Roman" w:hAnsi="Times New Roman"/>
                <w:snapToGrid w:val="0"/>
                <w:sz w:val="28"/>
                <w:szCs w:val="28"/>
                <w:lang w:eastAsia="ru-RU"/>
              </w:rPr>
              <w:t>№</w:t>
            </w:r>
            <w:r w:rsidRPr="00C16AC0">
              <w:rPr>
                <w:rFonts w:ascii="Times New Roman" w:eastAsia="Times New Roman" w:hAnsi="Times New Roman"/>
                <w:snapToGrid w:val="0"/>
                <w:sz w:val="28"/>
                <w:szCs w:val="28"/>
                <w:lang w:val="ru-KZ" w:eastAsia="ru-RU"/>
              </w:rPr>
              <w:t>___________</w:t>
            </w:r>
          </w:p>
        </w:tc>
        <w:tc>
          <w:tcPr>
            <w:tcW w:w="4536" w:type="dxa"/>
          </w:tcPr>
          <w:p w14:paraId="22319883" w14:textId="77777777" w:rsidR="00161092" w:rsidRPr="00C16AC0" w:rsidRDefault="00161092" w:rsidP="00161092">
            <w:pPr>
              <w:widowControl w:val="0"/>
              <w:spacing w:after="0" w:line="240" w:lineRule="auto"/>
              <w:jc w:val="center"/>
              <w:rPr>
                <w:rFonts w:ascii="Times New Roman" w:eastAsia="Times New Roman" w:hAnsi="Times New Roman"/>
                <w:b/>
                <w:snapToGrid w:val="0"/>
                <w:sz w:val="28"/>
                <w:szCs w:val="28"/>
                <w:lang w:eastAsia="ru-RU"/>
              </w:rPr>
            </w:pPr>
            <w:r w:rsidRPr="00C16AC0">
              <w:rPr>
                <w:rFonts w:ascii="Times New Roman" w:eastAsia="Times New Roman" w:hAnsi="Times New Roman"/>
                <w:b/>
                <w:snapToGrid w:val="0"/>
                <w:sz w:val="28"/>
                <w:szCs w:val="28"/>
                <w:lang w:eastAsia="ru-RU"/>
              </w:rPr>
              <w:t xml:space="preserve"> </w:t>
            </w:r>
          </w:p>
        </w:tc>
      </w:tr>
      <w:tr w:rsidR="00161092" w:rsidRPr="00C16AC0" w14:paraId="1B54C6FA" w14:textId="77777777" w:rsidTr="00C027AA">
        <w:trPr>
          <w:trHeight w:val="80"/>
        </w:trPr>
        <w:tc>
          <w:tcPr>
            <w:tcW w:w="5211" w:type="dxa"/>
          </w:tcPr>
          <w:p w14:paraId="222CC47C" w14:textId="77777777" w:rsidR="00161092" w:rsidRPr="00C16AC0" w:rsidRDefault="00161092" w:rsidP="00161092">
            <w:pPr>
              <w:widowControl w:val="0"/>
              <w:spacing w:after="0" w:line="240" w:lineRule="auto"/>
              <w:rPr>
                <w:rFonts w:ascii="Times New Roman" w:eastAsia="Batang" w:hAnsi="Times New Roman"/>
                <w:sz w:val="28"/>
                <w:szCs w:val="28"/>
                <w:lang w:eastAsia="ru-RU"/>
              </w:rPr>
            </w:pPr>
          </w:p>
        </w:tc>
        <w:tc>
          <w:tcPr>
            <w:tcW w:w="4536" w:type="dxa"/>
          </w:tcPr>
          <w:p w14:paraId="2A7A98B3" w14:textId="77777777" w:rsidR="00161092" w:rsidRPr="00C16AC0" w:rsidRDefault="00161092" w:rsidP="00161092">
            <w:pPr>
              <w:widowControl w:val="0"/>
              <w:spacing w:after="0" w:line="240" w:lineRule="auto"/>
              <w:rPr>
                <w:rFonts w:ascii="Times New Roman" w:eastAsia="Times New Roman" w:hAnsi="Times New Roman"/>
                <w:sz w:val="28"/>
                <w:szCs w:val="28"/>
                <w:lang w:eastAsia="ru-RU"/>
              </w:rPr>
            </w:pPr>
          </w:p>
        </w:tc>
        <w:tc>
          <w:tcPr>
            <w:tcW w:w="4536" w:type="dxa"/>
          </w:tcPr>
          <w:p w14:paraId="3C40C1BA" w14:textId="77777777" w:rsidR="00161092" w:rsidRPr="00C16AC0" w:rsidRDefault="00161092" w:rsidP="00161092">
            <w:pPr>
              <w:widowControl w:val="0"/>
              <w:spacing w:after="0" w:line="240" w:lineRule="auto"/>
              <w:jc w:val="right"/>
              <w:rPr>
                <w:rFonts w:ascii="Times New Roman" w:eastAsia="Times New Roman" w:hAnsi="Times New Roman"/>
                <w:sz w:val="28"/>
                <w:szCs w:val="28"/>
                <w:lang w:eastAsia="ru-RU"/>
              </w:rPr>
            </w:pPr>
          </w:p>
        </w:tc>
      </w:tr>
    </w:tbl>
    <w:p w14:paraId="1E622676" w14:textId="77777777" w:rsidR="00161092" w:rsidRPr="00C16AC0" w:rsidRDefault="00161092" w:rsidP="00161092">
      <w:pPr>
        <w:autoSpaceDE w:val="0"/>
        <w:autoSpaceDN w:val="0"/>
        <w:spacing w:after="0" w:line="240" w:lineRule="auto"/>
        <w:jc w:val="center"/>
        <w:rPr>
          <w:rFonts w:ascii="Times New Roman" w:eastAsia="Times New Roman" w:hAnsi="Times New Roman"/>
          <w:b/>
          <w:sz w:val="28"/>
          <w:szCs w:val="28"/>
          <w:lang w:eastAsia="ru-RU"/>
        </w:rPr>
      </w:pPr>
    </w:p>
    <w:p w14:paraId="366A34D7" w14:textId="77777777" w:rsidR="00161092" w:rsidRPr="00C16AC0" w:rsidRDefault="00161092" w:rsidP="00161092">
      <w:pPr>
        <w:autoSpaceDE w:val="0"/>
        <w:autoSpaceDN w:val="0"/>
        <w:spacing w:after="0" w:line="240" w:lineRule="auto"/>
        <w:jc w:val="center"/>
        <w:rPr>
          <w:rFonts w:ascii="Times New Roman" w:eastAsia="Times New Roman" w:hAnsi="Times New Roman"/>
          <w:b/>
          <w:strike/>
          <w:color w:val="FF0000"/>
          <w:sz w:val="28"/>
          <w:szCs w:val="28"/>
          <w:lang w:eastAsia="ru-RU"/>
        </w:rPr>
      </w:pPr>
      <w:bookmarkStart w:id="0" w:name="_Hlk45561610"/>
      <w:r w:rsidRPr="00C16AC0">
        <w:rPr>
          <w:rFonts w:ascii="Times New Roman" w:eastAsia="Times New Roman" w:hAnsi="Times New Roman"/>
          <w:b/>
          <w:sz w:val="28"/>
          <w:szCs w:val="28"/>
          <w:lang w:eastAsia="ru-RU"/>
        </w:rPr>
        <w:t xml:space="preserve">Инструкция по медицинскому применению лекарственного препарата </w:t>
      </w:r>
    </w:p>
    <w:p w14:paraId="2379E9E2" w14:textId="77777777" w:rsidR="00161092" w:rsidRPr="00C16AC0" w:rsidRDefault="00161092" w:rsidP="00161092">
      <w:pPr>
        <w:autoSpaceDE w:val="0"/>
        <w:autoSpaceDN w:val="0"/>
        <w:spacing w:after="0" w:line="240" w:lineRule="auto"/>
        <w:jc w:val="center"/>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(Листок-вкладыш)</w:t>
      </w:r>
    </w:p>
    <w:bookmarkEnd w:id="0"/>
    <w:p w14:paraId="170E4B69" w14:textId="67F1B4F7" w:rsidR="00161092" w:rsidRPr="00C16AC0" w:rsidRDefault="00161092" w:rsidP="00161092">
      <w:pPr>
        <w:autoSpaceDE w:val="0"/>
        <w:autoSpaceDN w:val="0"/>
        <w:spacing w:after="0" w:line="240" w:lineRule="auto"/>
        <w:jc w:val="both"/>
        <w:rPr>
          <w:rFonts w:ascii="Times New Roman" w:eastAsia="Times New Roman" w:hAnsi="Times New Roman"/>
          <w:bCs/>
          <w:i/>
          <w:sz w:val="20"/>
          <w:szCs w:val="20"/>
          <w:lang w:eastAsia="ru-RU"/>
        </w:rPr>
      </w:pPr>
      <w:r w:rsidRPr="00C16AC0">
        <w:rPr>
          <w:rFonts w:ascii="Times New Roman" w:eastAsia="Times New Roman" w:hAnsi="Times New Roman"/>
          <w:bCs/>
          <w:sz w:val="20"/>
          <w:szCs w:val="20"/>
          <w:lang w:eastAsia="ru-RU"/>
        </w:rPr>
        <w:t>▼</w:t>
      </w:r>
      <w:r w:rsidR="00803923" w:rsidRPr="00C16AC0">
        <w:rPr>
          <w:bCs/>
          <w:sz w:val="20"/>
          <w:szCs w:val="20"/>
        </w:rPr>
        <w:t xml:space="preserve"> </w:t>
      </w:r>
      <w:bookmarkStart w:id="1" w:name="_Hlk52959906"/>
      <w:r w:rsidR="00803923" w:rsidRPr="00C16AC0">
        <w:rPr>
          <w:rFonts w:ascii="Times New Roman" w:eastAsia="Times New Roman" w:hAnsi="Times New Roman"/>
          <w:bCs/>
          <w:sz w:val="20"/>
          <w:szCs w:val="20"/>
          <w:lang w:eastAsia="ru-RU"/>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r w:rsidRPr="00C16AC0">
        <w:rPr>
          <w:rFonts w:ascii="Times New Roman" w:eastAsia="Times New Roman" w:hAnsi="Times New Roman"/>
          <w:bCs/>
          <w:i/>
          <w:sz w:val="20"/>
          <w:szCs w:val="20"/>
          <w:lang w:eastAsia="ru-RU"/>
        </w:rPr>
        <w:t xml:space="preserve">. </w:t>
      </w:r>
      <w:r w:rsidR="008C32C1" w:rsidRPr="00C16AC0">
        <w:rPr>
          <w:rFonts w:ascii="Times New Roman" w:eastAsia="Times New Roman" w:hAnsi="Times New Roman"/>
          <w:bCs/>
          <w:i/>
          <w:sz w:val="20"/>
          <w:szCs w:val="20"/>
          <w:lang w:eastAsia="ru-RU"/>
        </w:rPr>
        <w:t xml:space="preserve"> </w:t>
      </w:r>
    </w:p>
    <w:bookmarkEnd w:id="1"/>
    <w:p w14:paraId="1A6FB97D" w14:textId="77777777" w:rsidR="00161092" w:rsidRPr="00C16AC0" w:rsidRDefault="00161092" w:rsidP="00161092">
      <w:pPr>
        <w:autoSpaceDE w:val="0"/>
        <w:autoSpaceDN w:val="0"/>
        <w:spacing w:after="0" w:line="240" w:lineRule="auto"/>
        <w:rPr>
          <w:rFonts w:ascii="Times New Roman" w:eastAsia="Times New Roman" w:hAnsi="Times New Roman"/>
          <w:b/>
          <w:sz w:val="28"/>
          <w:szCs w:val="28"/>
          <w:lang w:eastAsia="ru-RU"/>
        </w:rPr>
      </w:pPr>
    </w:p>
    <w:p w14:paraId="4B2BA8AE" w14:textId="77777777" w:rsidR="00161092" w:rsidRPr="00C16AC0" w:rsidRDefault="00803923" w:rsidP="00161092">
      <w:pPr>
        <w:autoSpaceDE w:val="0"/>
        <w:autoSpaceDN w:val="0"/>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Торговое наименование</w:t>
      </w:r>
    </w:p>
    <w:p w14:paraId="64F304DC"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sz w:val="28"/>
          <w:szCs w:val="28"/>
          <w:lang w:eastAsia="ru-RU"/>
        </w:rPr>
        <w:t xml:space="preserve">СинноРА </w:t>
      </w:r>
    </w:p>
    <w:p w14:paraId="5A0E4A1B" w14:textId="77777777" w:rsidR="00161092" w:rsidRPr="00C16AC0" w:rsidRDefault="00161092" w:rsidP="00161092">
      <w:pPr>
        <w:autoSpaceDE w:val="0"/>
        <w:autoSpaceDN w:val="0"/>
        <w:spacing w:after="0" w:line="240" w:lineRule="auto"/>
        <w:jc w:val="both"/>
        <w:rPr>
          <w:rFonts w:ascii="Times New Roman" w:eastAsia="Times New Roman" w:hAnsi="Times New Roman"/>
          <w:sz w:val="28"/>
          <w:szCs w:val="28"/>
          <w:lang w:val="kk-KZ" w:eastAsia="ru-RU"/>
        </w:rPr>
      </w:pPr>
    </w:p>
    <w:p w14:paraId="713DD402" w14:textId="77777777" w:rsidR="00161092" w:rsidRPr="00C16AC0" w:rsidRDefault="00161092" w:rsidP="00161092">
      <w:pPr>
        <w:autoSpaceDE w:val="0"/>
        <w:autoSpaceDN w:val="0"/>
        <w:spacing w:after="0" w:line="240" w:lineRule="auto"/>
        <w:jc w:val="both"/>
        <w:rPr>
          <w:rFonts w:ascii="Times New Roman" w:eastAsia="Times New Roman" w:hAnsi="Times New Roman"/>
          <w:sz w:val="28"/>
          <w:szCs w:val="28"/>
          <w:lang w:eastAsia="ru-RU"/>
        </w:rPr>
      </w:pPr>
      <w:r w:rsidRPr="00C16AC0">
        <w:rPr>
          <w:rFonts w:ascii="Times New Roman" w:eastAsia="Times New Roman" w:hAnsi="Times New Roman"/>
          <w:b/>
          <w:sz w:val="28"/>
          <w:szCs w:val="28"/>
          <w:lang w:eastAsia="ru-RU"/>
        </w:rPr>
        <w:t>Международное непатентованное название</w:t>
      </w:r>
    </w:p>
    <w:p w14:paraId="6BFB47A3"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Адалимумаб</w:t>
      </w:r>
    </w:p>
    <w:p w14:paraId="21F81C3F"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p>
    <w:p w14:paraId="4660633F"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val="kk-KZ" w:eastAsia="ru-RU"/>
        </w:rPr>
      </w:pPr>
      <w:r w:rsidRPr="00C16AC0">
        <w:rPr>
          <w:rFonts w:ascii="Times New Roman" w:eastAsia="Times New Roman" w:hAnsi="Times New Roman"/>
          <w:b/>
          <w:sz w:val="28"/>
          <w:szCs w:val="28"/>
          <w:lang w:eastAsia="ru-RU"/>
        </w:rPr>
        <w:t xml:space="preserve">Лекарственная форма, дозировка  </w:t>
      </w:r>
    </w:p>
    <w:p w14:paraId="7ACC30DD"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Раствор для инъекций 40 мг/0.8 мл</w:t>
      </w:r>
    </w:p>
    <w:p w14:paraId="067B8B58"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val="kk-KZ" w:eastAsia="ru-RU"/>
        </w:rPr>
      </w:pPr>
    </w:p>
    <w:p w14:paraId="4C9D6897"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C16AC0">
        <w:rPr>
          <w:rFonts w:ascii="Times New Roman" w:eastAsia="Times New Roman" w:hAnsi="Times New Roman"/>
          <w:b/>
          <w:bCs/>
          <w:snapToGrid w:val="0"/>
          <w:sz w:val="28"/>
          <w:szCs w:val="28"/>
          <w:lang w:eastAsia="ru-RU"/>
        </w:rPr>
        <w:t xml:space="preserve">Фармакотерапевтическая группа </w:t>
      </w:r>
    </w:p>
    <w:p w14:paraId="4DC2367B" w14:textId="77777777" w:rsidR="00161092" w:rsidRPr="00C16AC0" w:rsidRDefault="00161092" w:rsidP="00161092">
      <w:pPr>
        <w:autoSpaceDE w:val="0"/>
        <w:autoSpaceDN w:val="0"/>
        <w:adjustRightInd w:val="0"/>
        <w:spacing w:after="0" w:line="240" w:lineRule="auto"/>
        <w:jc w:val="both"/>
        <w:rPr>
          <w:rFonts w:ascii="Times New Roman" w:eastAsia="TimesNewRomanPSMT" w:hAnsi="Times New Roman"/>
          <w:sz w:val="28"/>
          <w:szCs w:val="28"/>
          <w:lang w:eastAsia="ru-RU"/>
        </w:rPr>
      </w:pPr>
      <w:proofErr w:type="spellStart"/>
      <w:r w:rsidRPr="00C16AC0">
        <w:rPr>
          <w:rFonts w:ascii="Times New Roman" w:eastAsia="TimesNewRomanPSMT" w:hAnsi="Times New Roman"/>
          <w:sz w:val="28"/>
          <w:szCs w:val="28"/>
          <w:lang w:eastAsia="ru-RU"/>
        </w:rPr>
        <w:t>Антинеопластические</w:t>
      </w:r>
      <w:proofErr w:type="spellEnd"/>
      <w:r w:rsidRPr="00C16AC0">
        <w:rPr>
          <w:rFonts w:ascii="Times New Roman" w:eastAsia="TimesNewRomanPSMT" w:hAnsi="Times New Roman"/>
          <w:sz w:val="28"/>
          <w:szCs w:val="28"/>
          <w:lang w:eastAsia="ru-RU"/>
        </w:rPr>
        <w:t xml:space="preserve"> и </w:t>
      </w:r>
      <w:proofErr w:type="spellStart"/>
      <w:r w:rsidRPr="00C16AC0">
        <w:rPr>
          <w:rFonts w:ascii="Times New Roman" w:eastAsia="TimesNewRomanPSMT" w:hAnsi="Times New Roman"/>
          <w:sz w:val="28"/>
          <w:szCs w:val="28"/>
          <w:lang w:eastAsia="ru-RU"/>
        </w:rPr>
        <w:t>иммунномодулирующие</w:t>
      </w:r>
      <w:proofErr w:type="spellEnd"/>
      <w:r w:rsidRPr="00C16AC0">
        <w:rPr>
          <w:rFonts w:ascii="Times New Roman" w:eastAsia="TimesNewRomanPSMT" w:hAnsi="Times New Roman"/>
          <w:sz w:val="28"/>
          <w:szCs w:val="28"/>
          <w:lang w:eastAsia="ru-RU"/>
        </w:rPr>
        <w:t xml:space="preserve"> препараты. Иммунодепрессанты. Ингибиторы фактора некроза опухоли-альфа. Адалимумаб. </w:t>
      </w:r>
    </w:p>
    <w:p w14:paraId="2EB0ED6B" w14:textId="77777777" w:rsidR="00161092" w:rsidRPr="00C16AC0" w:rsidRDefault="00161092" w:rsidP="00161092">
      <w:pPr>
        <w:autoSpaceDE w:val="0"/>
        <w:autoSpaceDN w:val="0"/>
        <w:adjustRightInd w:val="0"/>
        <w:spacing w:after="0" w:line="240" w:lineRule="auto"/>
        <w:rPr>
          <w:rFonts w:ascii="Times New Roman" w:hAnsi="Times New Roman"/>
          <w:sz w:val="28"/>
          <w:szCs w:val="28"/>
          <w:lang w:eastAsia="ru-RU"/>
        </w:rPr>
      </w:pPr>
      <w:r w:rsidRPr="00C16AC0">
        <w:rPr>
          <w:rFonts w:ascii="Times New Roman" w:eastAsia="TimesNewRomanPSMT" w:hAnsi="Times New Roman"/>
          <w:sz w:val="28"/>
          <w:szCs w:val="28"/>
          <w:lang w:eastAsia="ru-RU"/>
        </w:rPr>
        <w:t>Код АТХ L04АВ04</w:t>
      </w:r>
    </w:p>
    <w:p w14:paraId="5490E874" w14:textId="77777777" w:rsidR="00161092" w:rsidRPr="00C16AC0" w:rsidRDefault="00161092" w:rsidP="00161092">
      <w:pPr>
        <w:autoSpaceDE w:val="0"/>
        <w:autoSpaceDN w:val="0"/>
        <w:adjustRightInd w:val="0"/>
        <w:spacing w:after="0" w:line="240" w:lineRule="auto"/>
        <w:rPr>
          <w:rFonts w:ascii="Times New Roman" w:hAnsi="Times New Roman"/>
          <w:sz w:val="28"/>
          <w:szCs w:val="28"/>
          <w:lang w:eastAsia="ru-RU"/>
        </w:rPr>
      </w:pPr>
    </w:p>
    <w:p w14:paraId="56328806" w14:textId="77777777" w:rsidR="00161092" w:rsidRPr="00C16AC0" w:rsidRDefault="00161092" w:rsidP="00161092">
      <w:pPr>
        <w:autoSpaceDE w:val="0"/>
        <w:autoSpaceDN w:val="0"/>
        <w:adjustRightInd w:val="0"/>
        <w:spacing w:after="0" w:line="240" w:lineRule="auto"/>
        <w:rPr>
          <w:rFonts w:ascii="Times New Roman" w:hAnsi="Times New Roman"/>
          <w:sz w:val="28"/>
          <w:szCs w:val="28"/>
          <w:lang w:eastAsia="ru-RU"/>
        </w:rPr>
      </w:pPr>
      <w:r w:rsidRPr="00C16AC0">
        <w:rPr>
          <w:rFonts w:ascii="Times New Roman" w:eastAsia="Times New Roman" w:hAnsi="Times New Roman"/>
          <w:b/>
          <w:bCs/>
          <w:sz w:val="28"/>
          <w:szCs w:val="28"/>
          <w:lang w:eastAsia="ru-RU"/>
        </w:rPr>
        <w:t>Показания к применению</w:t>
      </w:r>
    </w:p>
    <w:p w14:paraId="6B993EDF"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Ревматоидный артрит</w:t>
      </w:r>
    </w:p>
    <w:p w14:paraId="710DD20B"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Препарат СинноРА (в комбинации с метотрексатом) показан для:</w:t>
      </w:r>
    </w:p>
    <w:p w14:paraId="3A3FD287"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лечения средней и высокой степени активности ревматоидного артрита у взрослых пациентов в отсутствие надлежащего ответа на противоревматические препараты, модифицирующие течение болезни, включая метотрексат;</w:t>
      </w:r>
    </w:p>
    <w:p w14:paraId="3D7C597D"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лечения тяжелой формы активного и прогрессивного ревматоидного артрита у взрослых, не получавших предварительного лечения метотрексатом.</w:t>
      </w:r>
    </w:p>
    <w:p w14:paraId="6681DF15"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может применяться в режиме </w:t>
      </w:r>
      <w:proofErr w:type="spellStart"/>
      <w:r w:rsidRPr="00C16AC0">
        <w:rPr>
          <w:rFonts w:ascii="Times New Roman" w:hAnsi="Times New Roman"/>
          <w:sz w:val="28"/>
          <w:szCs w:val="28"/>
        </w:rPr>
        <w:t>монотерапии</w:t>
      </w:r>
      <w:proofErr w:type="spellEnd"/>
      <w:r w:rsidRPr="00C16AC0">
        <w:rPr>
          <w:rFonts w:ascii="Times New Roman" w:hAnsi="Times New Roman"/>
          <w:sz w:val="28"/>
          <w:szCs w:val="28"/>
        </w:rPr>
        <w:t xml:space="preserve"> в случае непереносимости метотрексата или невозможности продолжения лечения с применением метотрексата.</w:t>
      </w:r>
    </w:p>
    <w:p w14:paraId="1F581E32"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lastRenderedPageBreak/>
        <w:t>Препарат СинноРА продемонстрировал снижение частоты прогрессирования повреждения суставов, что было подтверждено рентгенографией, и улучшение функционального статуса при применении в комбинации с метотрексатом.</w:t>
      </w:r>
    </w:p>
    <w:p w14:paraId="128B176B"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proofErr w:type="spellStart"/>
      <w:r w:rsidRPr="00C16AC0">
        <w:rPr>
          <w:rFonts w:ascii="Times New Roman" w:hAnsi="Times New Roman"/>
          <w:i/>
          <w:iCs/>
          <w:sz w:val="28"/>
          <w:szCs w:val="28"/>
        </w:rPr>
        <w:t>Псориатический</w:t>
      </w:r>
      <w:proofErr w:type="spellEnd"/>
      <w:r w:rsidRPr="00C16AC0">
        <w:rPr>
          <w:rFonts w:ascii="Times New Roman" w:hAnsi="Times New Roman"/>
          <w:i/>
          <w:iCs/>
          <w:sz w:val="28"/>
          <w:szCs w:val="28"/>
        </w:rPr>
        <w:t xml:space="preserve"> артрит (</w:t>
      </w:r>
      <w:proofErr w:type="spellStart"/>
      <w:r w:rsidRPr="00C16AC0">
        <w:rPr>
          <w:rFonts w:ascii="Times New Roman" w:hAnsi="Times New Roman"/>
          <w:i/>
          <w:iCs/>
          <w:sz w:val="28"/>
          <w:szCs w:val="28"/>
        </w:rPr>
        <w:t>ПсА</w:t>
      </w:r>
      <w:proofErr w:type="spellEnd"/>
      <w:r w:rsidRPr="00C16AC0">
        <w:rPr>
          <w:rFonts w:ascii="Times New Roman" w:hAnsi="Times New Roman"/>
          <w:i/>
          <w:iCs/>
          <w:sz w:val="28"/>
          <w:szCs w:val="28"/>
        </w:rPr>
        <w:t>)</w:t>
      </w:r>
    </w:p>
    <w:p w14:paraId="7D0E20A2"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уменьшения признаков и симптомов активного артрита у взрослых пациентов с </w:t>
      </w:r>
      <w:proofErr w:type="spellStart"/>
      <w:r w:rsidRPr="00C16AC0">
        <w:rPr>
          <w:rFonts w:ascii="Times New Roman" w:hAnsi="Times New Roman"/>
          <w:sz w:val="28"/>
          <w:szCs w:val="28"/>
        </w:rPr>
        <w:t>псориатическим</w:t>
      </w:r>
      <w:proofErr w:type="spellEnd"/>
      <w:r w:rsidRPr="00C16AC0">
        <w:rPr>
          <w:rFonts w:ascii="Times New Roman" w:hAnsi="Times New Roman"/>
          <w:sz w:val="28"/>
          <w:szCs w:val="28"/>
        </w:rPr>
        <w:t xml:space="preserve"> артритом; для замедления прогрессирования повреждений периферических суставов, измеряемого </w:t>
      </w:r>
      <w:proofErr w:type="spellStart"/>
      <w:r w:rsidRPr="00C16AC0">
        <w:rPr>
          <w:rFonts w:ascii="Times New Roman" w:hAnsi="Times New Roman"/>
          <w:sz w:val="28"/>
          <w:szCs w:val="28"/>
        </w:rPr>
        <w:t>рентгенографически</w:t>
      </w:r>
      <w:proofErr w:type="spellEnd"/>
      <w:r w:rsidRPr="00C16AC0">
        <w:rPr>
          <w:rFonts w:ascii="Times New Roman" w:hAnsi="Times New Roman"/>
          <w:sz w:val="28"/>
          <w:szCs w:val="28"/>
        </w:rPr>
        <w:t xml:space="preserve">, у пациентов с симметричной </w:t>
      </w:r>
      <w:proofErr w:type="spellStart"/>
      <w:r w:rsidRPr="00C16AC0">
        <w:rPr>
          <w:rFonts w:ascii="Times New Roman" w:hAnsi="Times New Roman"/>
          <w:sz w:val="28"/>
          <w:szCs w:val="28"/>
        </w:rPr>
        <w:t>полиартикулярной</w:t>
      </w:r>
      <w:proofErr w:type="spellEnd"/>
      <w:r w:rsidRPr="00C16AC0">
        <w:rPr>
          <w:rFonts w:ascii="Times New Roman" w:hAnsi="Times New Roman"/>
          <w:sz w:val="28"/>
          <w:szCs w:val="28"/>
        </w:rPr>
        <w:t xml:space="preserve"> формой заболевания и для улучшения функционального состояния.</w:t>
      </w:r>
    </w:p>
    <w:p w14:paraId="2206F2F8" w14:textId="77777777" w:rsidR="00161092" w:rsidRPr="00C16AC0" w:rsidRDefault="00161092" w:rsidP="00161092">
      <w:pPr>
        <w:tabs>
          <w:tab w:val="left" w:pos="8931"/>
        </w:tabs>
        <w:spacing w:after="0" w:line="240" w:lineRule="auto"/>
        <w:jc w:val="both"/>
        <w:rPr>
          <w:rFonts w:ascii="Times New Roman" w:hAnsi="Times New Roman"/>
          <w:sz w:val="28"/>
          <w:szCs w:val="28"/>
        </w:rPr>
      </w:pPr>
      <w:bookmarkStart w:id="2" w:name="_Hlk52960199"/>
      <w:r w:rsidRPr="00C16AC0">
        <w:rPr>
          <w:rFonts w:ascii="Times New Roman" w:hAnsi="Times New Roman"/>
          <w:sz w:val="28"/>
          <w:szCs w:val="28"/>
        </w:rPr>
        <w:t xml:space="preserve">Препарат СинноРА может применяться отдельно или вместе с метотрексатом или </w:t>
      </w:r>
      <w:r w:rsidR="00E740FB" w:rsidRPr="00C16AC0">
        <w:rPr>
          <w:rFonts w:ascii="Times New Roman" w:hAnsi="Times New Roman"/>
          <w:sz w:val="28"/>
          <w:szCs w:val="28"/>
        </w:rPr>
        <w:t xml:space="preserve">с </w:t>
      </w:r>
      <w:r w:rsidRPr="00C16AC0">
        <w:rPr>
          <w:rFonts w:ascii="Times New Roman" w:hAnsi="Times New Roman"/>
          <w:sz w:val="28"/>
          <w:szCs w:val="28"/>
        </w:rPr>
        <w:t xml:space="preserve">другими </w:t>
      </w:r>
      <w:r w:rsidR="00E740FB" w:rsidRPr="00C16AC0">
        <w:rPr>
          <w:rFonts w:ascii="Times New Roman" w:hAnsi="Times New Roman"/>
          <w:sz w:val="28"/>
          <w:szCs w:val="28"/>
        </w:rPr>
        <w:t>небиологическими</w:t>
      </w:r>
      <w:r w:rsidRPr="00C16AC0">
        <w:rPr>
          <w:rFonts w:ascii="Times New Roman" w:hAnsi="Times New Roman"/>
          <w:sz w:val="28"/>
          <w:szCs w:val="28"/>
        </w:rPr>
        <w:t xml:space="preserve"> препаратами</w:t>
      </w:r>
      <w:r w:rsidR="00844F69" w:rsidRPr="00C16AC0">
        <w:rPr>
          <w:rFonts w:ascii="Times New Roman" w:hAnsi="Times New Roman"/>
          <w:sz w:val="28"/>
          <w:szCs w:val="28"/>
        </w:rPr>
        <w:t xml:space="preserve"> </w:t>
      </w:r>
      <w:r w:rsidRPr="00C16AC0">
        <w:rPr>
          <w:rFonts w:ascii="Times New Roman" w:hAnsi="Times New Roman"/>
          <w:sz w:val="28"/>
          <w:szCs w:val="28"/>
        </w:rPr>
        <w:t>(DMARD).</w:t>
      </w:r>
    </w:p>
    <w:p w14:paraId="7FA3E157"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3" w:name="_Hlk52960259"/>
      <w:bookmarkEnd w:id="2"/>
      <w:r w:rsidRPr="00C16AC0">
        <w:rPr>
          <w:rFonts w:ascii="Times New Roman" w:hAnsi="Times New Roman"/>
          <w:i/>
          <w:iCs/>
          <w:sz w:val="28"/>
          <w:szCs w:val="28"/>
        </w:rPr>
        <w:t>Аксиальный спондилоартрит</w:t>
      </w:r>
    </w:p>
    <w:p w14:paraId="4D08D139"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Анкилозирующий спондилит (АС)</w:t>
      </w:r>
    </w:p>
    <w:p w14:paraId="664F530B"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уменьшения признаков и симптомов заболевания у взрослых пациентов с активным </w:t>
      </w:r>
      <w:proofErr w:type="spellStart"/>
      <w:r w:rsidRPr="00C16AC0">
        <w:rPr>
          <w:rFonts w:ascii="Times New Roman" w:hAnsi="Times New Roman"/>
          <w:sz w:val="28"/>
          <w:szCs w:val="28"/>
        </w:rPr>
        <w:t>анкилозирующим</w:t>
      </w:r>
      <w:proofErr w:type="spellEnd"/>
      <w:r w:rsidRPr="00C16AC0">
        <w:rPr>
          <w:rFonts w:ascii="Times New Roman" w:hAnsi="Times New Roman"/>
          <w:sz w:val="28"/>
          <w:szCs w:val="28"/>
        </w:rPr>
        <w:t xml:space="preserve"> спондилитом.</w:t>
      </w:r>
    </w:p>
    <w:p w14:paraId="0C31B6F3" w14:textId="77777777" w:rsidR="00161092" w:rsidRPr="00C16AC0" w:rsidRDefault="00161092" w:rsidP="00161092">
      <w:pPr>
        <w:tabs>
          <w:tab w:val="left" w:pos="8931"/>
        </w:tabs>
        <w:spacing w:after="0" w:line="240" w:lineRule="auto"/>
        <w:jc w:val="both"/>
        <w:rPr>
          <w:rFonts w:ascii="Times New Roman" w:hAnsi="Times New Roman"/>
          <w:sz w:val="28"/>
          <w:szCs w:val="28"/>
        </w:rPr>
      </w:pPr>
      <w:proofErr w:type="spellStart"/>
      <w:r w:rsidRPr="00C16AC0">
        <w:rPr>
          <w:rFonts w:ascii="Times New Roman" w:hAnsi="Times New Roman"/>
          <w:sz w:val="28"/>
          <w:szCs w:val="28"/>
        </w:rPr>
        <w:t>Нерентгенографический</w:t>
      </w:r>
      <w:proofErr w:type="spellEnd"/>
      <w:r w:rsidRPr="00C16AC0">
        <w:rPr>
          <w:rFonts w:ascii="Times New Roman" w:hAnsi="Times New Roman"/>
          <w:sz w:val="28"/>
          <w:szCs w:val="28"/>
        </w:rPr>
        <w:t xml:space="preserve"> аксиальный спондилоартрит (аксиальный спондилоартрит без рентгенографического подтверждения АС)</w:t>
      </w:r>
    </w:p>
    <w:p w14:paraId="6A44359B" w14:textId="77777777" w:rsidR="00161092" w:rsidRPr="00C16AC0" w:rsidRDefault="008D6E4C"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w:t>
      </w:r>
      <w:r w:rsidR="00161092" w:rsidRPr="00C16AC0">
        <w:rPr>
          <w:rFonts w:ascii="Times New Roman" w:hAnsi="Times New Roman"/>
          <w:sz w:val="28"/>
          <w:szCs w:val="28"/>
        </w:rPr>
        <w:t xml:space="preserve">репарат СинноРА показан для уменьшения признаков и симптомов заболевания у взрослых пациентов с активным </w:t>
      </w:r>
      <w:proofErr w:type="spellStart"/>
      <w:r w:rsidR="00161092" w:rsidRPr="00C16AC0">
        <w:rPr>
          <w:rFonts w:ascii="Times New Roman" w:hAnsi="Times New Roman"/>
          <w:sz w:val="28"/>
          <w:szCs w:val="28"/>
        </w:rPr>
        <w:t>нерентгенографическим</w:t>
      </w:r>
      <w:proofErr w:type="spellEnd"/>
      <w:r w:rsidR="00161092" w:rsidRPr="00C16AC0">
        <w:rPr>
          <w:rFonts w:ascii="Times New Roman" w:hAnsi="Times New Roman"/>
          <w:sz w:val="28"/>
          <w:szCs w:val="28"/>
        </w:rPr>
        <w:t xml:space="preserve"> аксиальным спондилоартритом</w:t>
      </w:r>
      <w:r w:rsidRPr="00C16AC0">
        <w:rPr>
          <w:rFonts w:ascii="Times New Roman" w:hAnsi="Times New Roman"/>
          <w:sz w:val="28"/>
          <w:szCs w:val="28"/>
        </w:rPr>
        <w:t xml:space="preserve">, в случае отсутствия </w:t>
      </w:r>
      <w:r w:rsidR="003E07A7" w:rsidRPr="00C16AC0">
        <w:rPr>
          <w:rFonts w:ascii="Times New Roman" w:hAnsi="Times New Roman"/>
          <w:sz w:val="28"/>
          <w:szCs w:val="28"/>
        </w:rPr>
        <w:t>надлежащего ответа на противоревматические препараты.</w:t>
      </w:r>
    </w:p>
    <w:p w14:paraId="55C97764" w14:textId="77777777" w:rsidR="00046309" w:rsidRPr="00C16AC0" w:rsidRDefault="00046309"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Если вы недостаточно хорошо отреагируете на эти лекарства, вам будет дан СинноРА, чтобы уменьшить признаки и симптомы вашего заболевания</w:t>
      </w:r>
    </w:p>
    <w:p w14:paraId="2CF60960"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4" w:name="_Hlk52960402"/>
      <w:bookmarkEnd w:id="3"/>
      <w:r w:rsidRPr="00C16AC0">
        <w:rPr>
          <w:rFonts w:ascii="Times New Roman" w:hAnsi="Times New Roman"/>
          <w:i/>
          <w:iCs/>
          <w:sz w:val="28"/>
          <w:szCs w:val="28"/>
        </w:rPr>
        <w:t>Болезнь Крона (БК)</w:t>
      </w:r>
    </w:p>
    <w:p w14:paraId="75D27DBD"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уменьшения признаков и симптомов заболевания, для индукции и поддержания клинической ремиссии у взрослых пациентов с болезнью Крона средней и высокой степени активности при неэффективности традиционной терапии, а также у пациентов, утративших клинический ответ на применение </w:t>
      </w:r>
      <w:proofErr w:type="spellStart"/>
      <w:r w:rsidRPr="00C16AC0">
        <w:rPr>
          <w:rFonts w:ascii="Times New Roman" w:hAnsi="Times New Roman"/>
          <w:sz w:val="28"/>
          <w:szCs w:val="28"/>
        </w:rPr>
        <w:t>инфликсимаба</w:t>
      </w:r>
      <w:proofErr w:type="spellEnd"/>
      <w:r w:rsidRPr="00C16AC0">
        <w:rPr>
          <w:rFonts w:ascii="Times New Roman" w:hAnsi="Times New Roman"/>
          <w:sz w:val="28"/>
          <w:szCs w:val="28"/>
        </w:rPr>
        <w:t xml:space="preserve"> или проявивших непереносимость последнего.</w:t>
      </w:r>
    </w:p>
    <w:p w14:paraId="272EC202"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5" w:name="_Hlk52960454"/>
      <w:bookmarkEnd w:id="4"/>
      <w:r w:rsidRPr="00C16AC0">
        <w:rPr>
          <w:rFonts w:ascii="Times New Roman" w:hAnsi="Times New Roman"/>
          <w:i/>
          <w:iCs/>
          <w:sz w:val="28"/>
          <w:szCs w:val="28"/>
        </w:rPr>
        <w:t>Язвенный колит (ЯК)</w:t>
      </w:r>
    </w:p>
    <w:p w14:paraId="47D5946D"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лечения язвенного колита средней и высокой степени активности у взрослых пациентов, у которых традиционная терапия, включая терапию кортикостероидами и/или 6-меркаптопурином или </w:t>
      </w:r>
      <w:proofErr w:type="spellStart"/>
      <w:r w:rsidRPr="00C16AC0">
        <w:rPr>
          <w:rFonts w:ascii="Times New Roman" w:hAnsi="Times New Roman"/>
          <w:sz w:val="28"/>
          <w:szCs w:val="28"/>
        </w:rPr>
        <w:t>азатиоприном</w:t>
      </w:r>
      <w:proofErr w:type="spellEnd"/>
      <w:r w:rsidRPr="00C16AC0">
        <w:rPr>
          <w:rFonts w:ascii="Times New Roman" w:hAnsi="Times New Roman"/>
          <w:sz w:val="28"/>
          <w:szCs w:val="28"/>
        </w:rPr>
        <w:t>, не дала клинического ответа, или дала явления непереносимости, или была изначально противопоказана.</w:t>
      </w:r>
    </w:p>
    <w:p w14:paraId="67AC014C"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6" w:name="_Hlk52960495"/>
      <w:bookmarkEnd w:id="5"/>
      <w:r w:rsidRPr="00C16AC0">
        <w:rPr>
          <w:rFonts w:ascii="Times New Roman" w:hAnsi="Times New Roman"/>
          <w:i/>
          <w:iCs/>
          <w:sz w:val="28"/>
          <w:szCs w:val="28"/>
        </w:rPr>
        <w:t>Бляшечный псориаз (БП)</w:t>
      </w:r>
    </w:p>
    <w:p w14:paraId="4CBAA96F"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предназначен для лечения умеренного и тяжелого хронического </w:t>
      </w:r>
      <w:proofErr w:type="spellStart"/>
      <w:r w:rsidRPr="00C16AC0">
        <w:rPr>
          <w:rFonts w:ascii="Times New Roman" w:hAnsi="Times New Roman"/>
          <w:sz w:val="28"/>
          <w:szCs w:val="28"/>
        </w:rPr>
        <w:t>бляшечного</w:t>
      </w:r>
      <w:proofErr w:type="spellEnd"/>
      <w:r w:rsidRPr="00C16AC0">
        <w:rPr>
          <w:rFonts w:ascii="Times New Roman" w:hAnsi="Times New Roman"/>
          <w:sz w:val="28"/>
          <w:szCs w:val="28"/>
        </w:rPr>
        <w:t xml:space="preserve"> псориаза у взрослых пациентов, которым показана системная терапия или фототерапия.</w:t>
      </w:r>
    </w:p>
    <w:p w14:paraId="3002E596"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lastRenderedPageBreak/>
        <w:t>Препарат СинноРА предназначен для лечения умеренного и тяжелого псориаза ногтей у взрослых пациентов, которым показана системная терапия.</w:t>
      </w:r>
    </w:p>
    <w:bookmarkEnd w:id="6"/>
    <w:p w14:paraId="7A2E724C" w14:textId="77777777" w:rsidR="00161092" w:rsidRPr="00C16AC0" w:rsidRDefault="00161092" w:rsidP="00161092">
      <w:pPr>
        <w:tabs>
          <w:tab w:val="left" w:pos="8931"/>
        </w:tabs>
        <w:spacing w:after="0" w:line="240" w:lineRule="auto"/>
        <w:jc w:val="both"/>
        <w:rPr>
          <w:rFonts w:ascii="Times New Roman" w:hAnsi="Times New Roman"/>
          <w:sz w:val="28"/>
          <w:szCs w:val="28"/>
          <w:u w:val="single"/>
        </w:rPr>
      </w:pPr>
      <w:r w:rsidRPr="00C16AC0">
        <w:rPr>
          <w:rFonts w:ascii="Times New Roman" w:hAnsi="Times New Roman"/>
          <w:sz w:val="28"/>
          <w:szCs w:val="28"/>
          <w:u w:val="single"/>
        </w:rPr>
        <w:t>В педиатрии</w:t>
      </w:r>
    </w:p>
    <w:p w14:paraId="62E3C066"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Ювенильный ревматоидный артрит (ЮРА)</w:t>
      </w:r>
    </w:p>
    <w:p w14:paraId="5658ED62"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Полиартикулярный ювенильный идиопатический артрит</w:t>
      </w:r>
    </w:p>
    <w:p w14:paraId="2C97AAC2" w14:textId="77777777" w:rsidR="00161092" w:rsidRPr="00C16AC0" w:rsidRDefault="00161092" w:rsidP="00161092">
      <w:pPr>
        <w:tabs>
          <w:tab w:val="left" w:pos="8931"/>
        </w:tabs>
        <w:spacing w:after="0" w:line="240" w:lineRule="auto"/>
        <w:jc w:val="both"/>
        <w:rPr>
          <w:rFonts w:ascii="Times New Roman" w:hAnsi="Times New Roman"/>
          <w:sz w:val="28"/>
          <w:szCs w:val="28"/>
        </w:rPr>
      </w:pPr>
      <w:bookmarkStart w:id="7" w:name="_Hlk52960541"/>
      <w:r w:rsidRPr="00C16AC0">
        <w:rPr>
          <w:rFonts w:ascii="Times New Roman" w:hAnsi="Times New Roman"/>
          <w:sz w:val="28"/>
          <w:szCs w:val="28"/>
        </w:rPr>
        <w:t xml:space="preserve">Препарат СинноРА показан для уменьшения признаков и симптомов заболевания у детей от </w:t>
      </w:r>
      <w:r w:rsidR="00782A4B" w:rsidRPr="00C16AC0">
        <w:rPr>
          <w:rFonts w:ascii="Times New Roman" w:hAnsi="Times New Roman"/>
          <w:sz w:val="28"/>
          <w:szCs w:val="28"/>
        </w:rPr>
        <w:t>2</w:t>
      </w:r>
      <w:r w:rsidRPr="00C16AC0">
        <w:rPr>
          <w:rFonts w:ascii="Times New Roman" w:hAnsi="Times New Roman"/>
          <w:sz w:val="28"/>
          <w:szCs w:val="28"/>
        </w:rPr>
        <w:t xml:space="preserve"> лет и старше с </w:t>
      </w:r>
      <w:proofErr w:type="spellStart"/>
      <w:r w:rsidRPr="00C16AC0">
        <w:rPr>
          <w:rFonts w:ascii="Times New Roman" w:hAnsi="Times New Roman"/>
          <w:sz w:val="28"/>
          <w:szCs w:val="28"/>
        </w:rPr>
        <w:t>полиартикулярным</w:t>
      </w:r>
      <w:proofErr w:type="spellEnd"/>
      <w:r w:rsidRPr="00C16AC0">
        <w:rPr>
          <w:rFonts w:ascii="Times New Roman" w:hAnsi="Times New Roman"/>
          <w:sz w:val="28"/>
          <w:szCs w:val="28"/>
        </w:rPr>
        <w:t xml:space="preserve"> артритом средней и высокой степени активности.</w:t>
      </w:r>
    </w:p>
    <w:bookmarkEnd w:id="7"/>
    <w:p w14:paraId="517EAC5E"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может применяться вместе с метотрексатом или в виде </w:t>
      </w:r>
      <w:proofErr w:type="spellStart"/>
      <w:r w:rsidRPr="00C16AC0">
        <w:rPr>
          <w:rFonts w:ascii="Times New Roman" w:hAnsi="Times New Roman"/>
          <w:sz w:val="28"/>
          <w:szCs w:val="28"/>
        </w:rPr>
        <w:t>монотерапии</w:t>
      </w:r>
      <w:proofErr w:type="spellEnd"/>
      <w:r w:rsidRPr="00C16AC0">
        <w:rPr>
          <w:rFonts w:ascii="Times New Roman" w:hAnsi="Times New Roman"/>
          <w:sz w:val="28"/>
          <w:szCs w:val="28"/>
        </w:rPr>
        <w:t>.</w:t>
      </w:r>
    </w:p>
    <w:p w14:paraId="03A76E77"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Энтезит-связанный артрит</w:t>
      </w:r>
    </w:p>
    <w:p w14:paraId="49457650"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предназначен для лечения активного </w:t>
      </w:r>
      <w:proofErr w:type="spellStart"/>
      <w:r w:rsidRPr="00C16AC0">
        <w:rPr>
          <w:rFonts w:ascii="Times New Roman" w:hAnsi="Times New Roman"/>
          <w:sz w:val="28"/>
          <w:szCs w:val="28"/>
        </w:rPr>
        <w:t>энтезит</w:t>
      </w:r>
      <w:proofErr w:type="spellEnd"/>
      <w:r w:rsidRPr="00C16AC0">
        <w:rPr>
          <w:rFonts w:ascii="Times New Roman" w:hAnsi="Times New Roman"/>
          <w:sz w:val="28"/>
          <w:szCs w:val="28"/>
        </w:rPr>
        <w:t>-связанного артрита у пациентов в возрасте от 6 лет и старше, которые не дали надлежащий ответ на традиционную терапию или продемонстрировали ее непереносимость.</w:t>
      </w:r>
    </w:p>
    <w:p w14:paraId="08D8C5EA"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8" w:name="_Hlk52960593"/>
      <w:r w:rsidRPr="00C16AC0">
        <w:rPr>
          <w:rFonts w:ascii="Times New Roman" w:hAnsi="Times New Roman"/>
          <w:i/>
          <w:iCs/>
          <w:sz w:val="28"/>
          <w:szCs w:val="28"/>
        </w:rPr>
        <w:t>Болезнь Крона (БК)</w:t>
      </w:r>
    </w:p>
    <w:p w14:paraId="7F2D563B"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Препарат СинноРА показан для уменьшения признаков и симптомов заболевания, для индукции и поддержания клинической ремиссии у детей от 6 лет и старше с болезнью Крона высокой степени активности при неэффективности традиционной терапии.</w:t>
      </w:r>
    </w:p>
    <w:bookmarkEnd w:id="8"/>
    <w:p w14:paraId="0952066E"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 xml:space="preserve">Хронический </w:t>
      </w:r>
      <w:proofErr w:type="spellStart"/>
      <w:r w:rsidRPr="00C16AC0">
        <w:rPr>
          <w:rFonts w:ascii="Times New Roman" w:hAnsi="Times New Roman"/>
          <w:i/>
          <w:iCs/>
          <w:sz w:val="28"/>
          <w:szCs w:val="28"/>
        </w:rPr>
        <w:t>бляшечный</w:t>
      </w:r>
      <w:proofErr w:type="spellEnd"/>
      <w:r w:rsidRPr="00C16AC0">
        <w:rPr>
          <w:rFonts w:ascii="Times New Roman" w:hAnsi="Times New Roman"/>
          <w:i/>
          <w:iCs/>
          <w:sz w:val="28"/>
          <w:szCs w:val="28"/>
        </w:rPr>
        <w:t xml:space="preserve"> псориаз</w:t>
      </w:r>
    </w:p>
    <w:p w14:paraId="2ACD5A24"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предназначен для лечения хронического </w:t>
      </w:r>
      <w:proofErr w:type="spellStart"/>
      <w:r w:rsidRPr="00C16AC0">
        <w:rPr>
          <w:rFonts w:ascii="Times New Roman" w:hAnsi="Times New Roman"/>
          <w:sz w:val="28"/>
          <w:szCs w:val="28"/>
        </w:rPr>
        <w:t>бляшечного</w:t>
      </w:r>
      <w:proofErr w:type="spellEnd"/>
      <w:r w:rsidRPr="00C16AC0">
        <w:rPr>
          <w:rFonts w:ascii="Times New Roman" w:hAnsi="Times New Roman"/>
          <w:sz w:val="28"/>
          <w:szCs w:val="28"/>
        </w:rPr>
        <w:t xml:space="preserve"> псориаза (тяжелой степени) у детей и подростков с 4 лет при неадекватном ответе на местную терапию или фототерапию, а также у пациентов, которым местная терапия и фототерапия противопоказаны.</w:t>
      </w:r>
    </w:p>
    <w:p w14:paraId="2307E90D" w14:textId="77777777" w:rsidR="00161092" w:rsidRPr="00C16AC0" w:rsidRDefault="00161092" w:rsidP="00161092">
      <w:pPr>
        <w:autoSpaceDE w:val="0"/>
        <w:autoSpaceDN w:val="0"/>
        <w:spacing w:after="0" w:line="240" w:lineRule="auto"/>
        <w:jc w:val="both"/>
        <w:rPr>
          <w:rFonts w:ascii="Times New Roman" w:eastAsia="Times New Roman" w:hAnsi="Times New Roman"/>
          <w:sz w:val="28"/>
          <w:szCs w:val="28"/>
          <w:lang w:eastAsia="ru-RU"/>
        </w:rPr>
      </w:pPr>
    </w:p>
    <w:p w14:paraId="018466A0"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Перечень сведений, необходимых до начала применения</w:t>
      </w:r>
    </w:p>
    <w:p w14:paraId="4F61C5D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Противопоказания</w:t>
      </w:r>
    </w:p>
    <w:p w14:paraId="74F0A2E6" w14:textId="77777777" w:rsidR="00161092" w:rsidRPr="00C16AC0" w:rsidRDefault="00161092" w:rsidP="00161092">
      <w:pPr>
        <w:tabs>
          <w:tab w:val="left" w:pos="284"/>
        </w:tabs>
        <w:autoSpaceDE w:val="0"/>
        <w:autoSpaceDN w:val="0"/>
        <w:spacing w:after="0" w:line="240" w:lineRule="auto"/>
        <w:jc w:val="both"/>
        <w:rPr>
          <w:rFonts w:ascii="Times New Roman" w:hAnsi="Times New Roman"/>
          <w:sz w:val="28"/>
          <w:szCs w:val="28"/>
        </w:rPr>
      </w:pPr>
      <w:r w:rsidRPr="00C16AC0">
        <w:rPr>
          <w:rFonts w:ascii="Times New Roman" w:hAnsi="Times New Roman"/>
          <w:sz w:val="28"/>
          <w:szCs w:val="28"/>
        </w:rPr>
        <w:t xml:space="preserve">- повышенная чувствительность к </w:t>
      </w:r>
      <w:proofErr w:type="spellStart"/>
      <w:r w:rsidRPr="00C16AC0">
        <w:rPr>
          <w:rFonts w:ascii="Times New Roman" w:hAnsi="Times New Roman"/>
          <w:sz w:val="28"/>
          <w:szCs w:val="28"/>
        </w:rPr>
        <w:t>адалимумабу</w:t>
      </w:r>
      <w:proofErr w:type="spellEnd"/>
      <w:r w:rsidRPr="00C16AC0">
        <w:rPr>
          <w:rFonts w:ascii="Times New Roman" w:hAnsi="Times New Roman"/>
          <w:sz w:val="28"/>
          <w:szCs w:val="28"/>
        </w:rPr>
        <w:t xml:space="preserve"> или какому-либо другому компоненту препарата;</w:t>
      </w:r>
    </w:p>
    <w:p w14:paraId="4EA64146" w14:textId="77777777" w:rsidR="00161092" w:rsidRPr="00C16AC0" w:rsidRDefault="00161092" w:rsidP="00161092">
      <w:pPr>
        <w:tabs>
          <w:tab w:val="left" w:pos="284"/>
        </w:tabs>
        <w:autoSpaceDE w:val="0"/>
        <w:autoSpaceDN w:val="0"/>
        <w:spacing w:after="0" w:line="240" w:lineRule="auto"/>
        <w:jc w:val="both"/>
        <w:rPr>
          <w:rFonts w:ascii="Times New Roman" w:hAnsi="Times New Roman"/>
          <w:sz w:val="28"/>
          <w:szCs w:val="28"/>
        </w:rPr>
      </w:pPr>
      <w:r w:rsidRPr="00C16AC0">
        <w:rPr>
          <w:rFonts w:ascii="Times New Roman" w:hAnsi="Times New Roman"/>
          <w:sz w:val="28"/>
          <w:szCs w:val="28"/>
        </w:rPr>
        <w:t>-</w:t>
      </w:r>
      <w:r w:rsidRPr="00C16AC0">
        <w:rPr>
          <w:rFonts w:ascii="Times New Roman" w:hAnsi="Times New Roman"/>
          <w:sz w:val="28"/>
          <w:szCs w:val="28"/>
        </w:rPr>
        <w:tab/>
      </w:r>
      <w:bookmarkStart w:id="9" w:name="_Hlk52961831"/>
      <w:r w:rsidRPr="00C16AC0">
        <w:rPr>
          <w:rFonts w:ascii="Times New Roman" w:hAnsi="Times New Roman"/>
          <w:sz w:val="28"/>
          <w:szCs w:val="28"/>
        </w:rPr>
        <w:t>активный туберкулез или другие тяжелые инфекции, такие как сепсис и оппортунистические инфекции;</w:t>
      </w:r>
    </w:p>
    <w:bookmarkEnd w:id="9"/>
    <w:p w14:paraId="5B22EDAC" w14:textId="77777777" w:rsidR="00161092" w:rsidRPr="00C16AC0" w:rsidRDefault="00161092" w:rsidP="00161092">
      <w:pPr>
        <w:tabs>
          <w:tab w:val="left" w:pos="284"/>
        </w:tabs>
        <w:autoSpaceDE w:val="0"/>
        <w:autoSpaceDN w:val="0"/>
        <w:spacing w:after="0" w:line="240" w:lineRule="auto"/>
        <w:jc w:val="both"/>
        <w:rPr>
          <w:rFonts w:ascii="Times New Roman" w:eastAsia="Times New Roman" w:hAnsi="Times New Roman"/>
          <w:sz w:val="28"/>
          <w:szCs w:val="28"/>
          <w:lang w:eastAsia="ru-RU"/>
        </w:rPr>
      </w:pPr>
      <w:r w:rsidRPr="00C16AC0">
        <w:rPr>
          <w:rFonts w:ascii="Times New Roman" w:hAnsi="Times New Roman"/>
          <w:sz w:val="28"/>
          <w:szCs w:val="28"/>
        </w:rPr>
        <w:t>-</w:t>
      </w:r>
      <w:r w:rsidRPr="00C16AC0">
        <w:rPr>
          <w:rFonts w:ascii="Times New Roman" w:hAnsi="Times New Roman"/>
          <w:sz w:val="28"/>
          <w:szCs w:val="28"/>
        </w:rPr>
        <w:tab/>
      </w:r>
      <w:bookmarkStart w:id="10" w:name="_Hlk52961849"/>
      <w:r w:rsidRPr="00C16AC0">
        <w:rPr>
          <w:rFonts w:ascii="Times New Roman" w:hAnsi="Times New Roman"/>
          <w:sz w:val="28"/>
          <w:szCs w:val="28"/>
        </w:rPr>
        <w:t>среднетяжелая и тяжелая сердечная недостаточность (III/IV класс по NYHA).</w:t>
      </w:r>
    </w:p>
    <w:bookmarkEnd w:id="10"/>
    <w:p w14:paraId="6604D81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Необходимые меры предосторожности при применении</w:t>
      </w:r>
    </w:p>
    <w:p w14:paraId="62E3E1A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С целью улучшения контроля применения биологических препаратов необходимо четко фиксировать торговое название, номер серии введенного препарата.</w:t>
      </w:r>
    </w:p>
    <w:p w14:paraId="5B55571A"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Инфекции</w:t>
      </w:r>
    </w:p>
    <w:p w14:paraId="73FB758E"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Тяжелые инфекции: бактериальные, </w:t>
      </w:r>
      <w:proofErr w:type="spellStart"/>
      <w:r w:rsidRPr="00C16AC0">
        <w:rPr>
          <w:rFonts w:ascii="Times New Roman" w:hAnsi="Times New Roman"/>
          <w:iCs/>
          <w:sz w:val="28"/>
          <w:szCs w:val="28"/>
        </w:rPr>
        <w:t>микобактериальные</w:t>
      </w:r>
      <w:proofErr w:type="spellEnd"/>
      <w:r w:rsidRPr="00C16AC0">
        <w:rPr>
          <w:rFonts w:ascii="Times New Roman" w:hAnsi="Times New Roman"/>
          <w:iCs/>
          <w:sz w:val="28"/>
          <w:szCs w:val="28"/>
        </w:rPr>
        <w:t xml:space="preserve">, инвазивные грибковые (диссеминированный или </w:t>
      </w:r>
      <w:proofErr w:type="spellStart"/>
      <w:r w:rsidRPr="00C16AC0">
        <w:rPr>
          <w:rFonts w:ascii="Times New Roman" w:hAnsi="Times New Roman"/>
          <w:iCs/>
          <w:sz w:val="28"/>
          <w:szCs w:val="28"/>
        </w:rPr>
        <w:t>экстрапульмональный</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гистоплазмоз</w:t>
      </w:r>
      <w:proofErr w:type="spellEnd"/>
      <w:r w:rsidRPr="00C16AC0">
        <w:rPr>
          <w:rFonts w:ascii="Times New Roman" w:hAnsi="Times New Roman"/>
          <w:iCs/>
          <w:sz w:val="28"/>
          <w:szCs w:val="28"/>
        </w:rPr>
        <w:t xml:space="preserve">, аспергиллез, </w:t>
      </w:r>
      <w:proofErr w:type="spellStart"/>
      <w:r w:rsidRPr="00C16AC0">
        <w:rPr>
          <w:rFonts w:ascii="Times New Roman" w:hAnsi="Times New Roman"/>
          <w:iCs/>
          <w:sz w:val="28"/>
          <w:szCs w:val="28"/>
        </w:rPr>
        <w:t>кокцидоидомикоз</w:t>
      </w:r>
      <w:proofErr w:type="spellEnd"/>
      <w:r w:rsidRPr="00C16AC0">
        <w:rPr>
          <w:rFonts w:ascii="Times New Roman" w:hAnsi="Times New Roman"/>
          <w:iCs/>
          <w:sz w:val="28"/>
          <w:szCs w:val="28"/>
        </w:rPr>
        <w:t xml:space="preserve">), вирусные, паразитарные или другие оппортунистические инфекции наблюдались у пациентов, применявших блокаторы ФНО. О развитии сепсиса, редко туберкулеза, кандидоза, </w:t>
      </w:r>
      <w:proofErr w:type="spellStart"/>
      <w:r w:rsidRPr="00C16AC0">
        <w:rPr>
          <w:rFonts w:ascii="Times New Roman" w:hAnsi="Times New Roman"/>
          <w:iCs/>
          <w:sz w:val="28"/>
          <w:szCs w:val="28"/>
        </w:rPr>
        <w:lastRenderedPageBreak/>
        <w:t>листериоза</w:t>
      </w:r>
      <w:proofErr w:type="spellEnd"/>
      <w:r w:rsidRPr="00C16AC0">
        <w:rPr>
          <w:rFonts w:ascii="Times New Roman" w:hAnsi="Times New Roman"/>
          <w:iCs/>
          <w:sz w:val="28"/>
          <w:szCs w:val="28"/>
        </w:rPr>
        <w:t xml:space="preserve">, легионеллеза и пневмоцистной инфекции также сообщалось при применении антагонистов ФНО, включая препарат СинноРА. В клинических исследованиях наблюдались и другие серьезные инфекции: пневмония, пиелонефрит, септический артрит и септицемия. Были сообщения о госпитализации пациентов с развившимися инфекциями (в том числе с фатальным исходом). Большинство тяжелых инфекций развились на фоне применения </w:t>
      </w:r>
      <w:proofErr w:type="spellStart"/>
      <w:r w:rsidRPr="00C16AC0">
        <w:rPr>
          <w:rFonts w:ascii="Times New Roman" w:hAnsi="Times New Roman"/>
          <w:iCs/>
          <w:sz w:val="28"/>
          <w:szCs w:val="28"/>
        </w:rPr>
        <w:t>иммуносупрессивных</w:t>
      </w:r>
      <w:proofErr w:type="spellEnd"/>
      <w:r w:rsidRPr="00C16AC0">
        <w:rPr>
          <w:rFonts w:ascii="Times New Roman" w:hAnsi="Times New Roman"/>
          <w:iCs/>
          <w:sz w:val="28"/>
          <w:szCs w:val="28"/>
        </w:rPr>
        <w:t xml:space="preserve"> средств и основного заболевания. Не следует применять препарат СинноРА у пациентов с активным инфекционным процессом, включая хронические или локализованные инфекции, до тех пор, пока инфекция не будет под контролем. У пациентов, имевших контакт с больным туберкулезом или вернувшихся из стран с высоким уровнем заболеваемости туберкулезом или эндемических по микозу зон (</w:t>
      </w:r>
      <w:proofErr w:type="spellStart"/>
      <w:r w:rsidRPr="00C16AC0">
        <w:rPr>
          <w:rFonts w:ascii="Times New Roman" w:hAnsi="Times New Roman"/>
          <w:iCs/>
          <w:sz w:val="28"/>
          <w:szCs w:val="28"/>
        </w:rPr>
        <w:t>гистоплазмоз</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кокцидоидомикоз</w:t>
      </w:r>
      <w:proofErr w:type="spellEnd"/>
      <w:r w:rsidRPr="00C16AC0">
        <w:rPr>
          <w:rFonts w:ascii="Times New Roman" w:hAnsi="Times New Roman"/>
          <w:iCs/>
          <w:sz w:val="28"/>
          <w:szCs w:val="28"/>
        </w:rPr>
        <w:t xml:space="preserve"> или бластомикоз) следует оценить соотношение польза/риск до начала применения препарата СинноРА. Как и при применении других антагонистов ФНО, за пациентами следует тщательно наблюдать до, во время и после лечения препаратом СинноРА, учитывая возможность развития инфекций (в том числе туберкулеза). Необходимо выполнить полный объем обследований и тщательно наблюдать за пациентами, у которых во время лечения препаратом СинноРА развилась новая инфекция. Лечение прекращают при развитии тяжелой инфекции или сепсиса и применяют соответствующие противомикробные или противогрибковые препараты до тех пор, пока инфекция не будет под контролем. Следует с особой осторожностью применять препарат СинноРА у пациентов с рекуррентными инфекциями или при </w:t>
      </w:r>
      <w:proofErr w:type="spellStart"/>
      <w:r w:rsidRPr="00C16AC0">
        <w:rPr>
          <w:rFonts w:ascii="Times New Roman" w:hAnsi="Times New Roman"/>
          <w:iCs/>
          <w:sz w:val="28"/>
          <w:szCs w:val="28"/>
        </w:rPr>
        <w:t>преморбидных</w:t>
      </w:r>
      <w:proofErr w:type="spellEnd"/>
      <w:r w:rsidRPr="00C16AC0">
        <w:rPr>
          <w:rFonts w:ascii="Times New Roman" w:hAnsi="Times New Roman"/>
          <w:iCs/>
          <w:sz w:val="28"/>
          <w:szCs w:val="28"/>
        </w:rPr>
        <w:t xml:space="preserve"> состояниях, повышающих склонность к развитию инфекций.</w:t>
      </w:r>
    </w:p>
    <w:p w14:paraId="10D9C51F"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Туберкулез</w:t>
      </w:r>
    </w:p>
    <w:p w14:paraId="0D6BE58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Сообщалось о случаях реактивации и о развитии новой инфекции туберкулеза, включая легочную и </w:t>
      </w:r>
      <w:proofErr w:type="spellStart"/>
      <w:r w:rsidRPr="00C16AC0">
        <w:rPr>
          <w:rFonts w:ascii="Times New Roman" w:hAnsi="Times New Roman"/>
          <w:iCs/>
          <w:sz w:val="28"/>
          <w:szCs w:val="28"/>
        </w:rPr>
        <w:t>нелегочную</w:t>
      </w:r>
      <w:proofErr w:type="spellEnd"/>
      <w:r w:rsidRPr="00C16AC0">
        <w:rPr>
          <w:rFonts w:ascii="Times New Roman" w:hAnsi="Times New Roman"/>
          <w:iCs/>
          <w:sz w:val="28"/>
          <w:szCs w:val="28"/>
        </w:rPr>
        <w:t xml:space="preserve"> формы (то есть диссеминированный туберкулез) у пациентов, которые получали лечение препаратом СинноРА. До начала терапии препаратом СинноРА пациенты должны быть тщательно обследованы на активный и неактивный («латентный») туберкулез. Обследование должно включать подробную оценку анамнеза пациента с туберкулезом или сведения о возможных контактах с людьми, больными активным туберкулезом, и о ранее проводимой или сопутствующей </w:t>
      </w:r>
      <w:proofErr w:type="spellStart"/>
      <w:r w:rsidRPr="00C16AC0">
        <w:rPr>
          <w:rFonts w:ascii="Times New Roman" w:hAnsi="Times New Roman"/>
          <w:iCs/>
          <w:sz w:val="28"/>
          <w:szCs w:val="28"/>
        </w:rPr>
        <w:t>иммуносупрессивной</w:t>
      </w:r>
      <w:proofErr w:type="spellEnd"/>
      <w:r w:rsidRPr="00C16AC0">
        <w:rPr>
          <w:rFonts w:ascii="Times New Roman" w:hAnsi="Times New Roman"/>
          <w:iCs/>
          <w:sz w:val="28"/>
          <w:szCs w:val="28"/>
        </w:rPr>
        <w:t xml:space="preserve"> терапии. Следует провести всем пациентам до начала терапии кожный туберкулиновый тест (проба Манту) и рентгенографию грудной клетки. За положительный результат кожного туберкулинового теста при проведении диагностики латентного туберкулеза считается появление уплотнения (папулы) диаметром 5 мм или более (без учета ранее проведенной вакцинации БЦЖ). Следует учитывать возможность не выявленного латентного туберкулеза у пациентов, вернувшихся из стран с высоким уровнем заболеваемости туберкулезом, или имели тесный контакт с больным </w:t>
      </w:r>
      <w:r w:rsidRPr="00C16AC0">
        <w:rPr>
          <w:rFonts w:ascii="Times New Roman" w:hAnsi="Times New Roman"/>
          <w:iCs/>
          <w:sz w:val="28"/>
          <w:szCs w:val="28"/>
        </w:rPr>
        <w:lastRenderedPageBreak/>
        <w:t xml:space="preserve">активным туберкулезом. Лечение препаратом СинноРА не должно проводиться, если диагностируется активный туберкулез. В случае латентного туберкулеза перед началом терапии препаратом СинноРА следует провести специфическое профилактическое лечение. Следует взвесить необходимость применения противотуберкулезного лечения перед началом терапии препаратом СинноРА у пациентов, имеющих факторы риска развития туберкулезной инфекции, но у которых получен негативный результат теста на латентный туберкулез и у пациентов, у которых был в анамнезе латентный или активный туберкулез и для которых не может быть подтверждено соответствующее лечение. Решение о начале противотуберкулезной терапии у таких пациентов принимают после консультации с фтизиатром и оценки риска развития латентного туберкулеза и безопасности противотуберкулезного лечения. Специфическое лечение латентного туберкулеза уменьшает риск реактивации туберкулеза у пациентов, получающих лечение препаратом СинноРА. Несмотря на профилактическое лечение туберкулеза, возникали случаи реактивации у пациентов, которые получали лечение препаратом СинноРА. Случаи активного туберкулеза развивались также у пациентов, получавших препарат СинноРА, с отрицательными результатами скрининга на латентную туберкулезную инфекцию, а у некоторых пациентов после успешного лечения от активного туберкулеза развивался туберкулез во время лечения блокаторами ФНО. Во время применения препарата СинноРА пациентов следует осматривать относительно появления признаков и симптомов активного туберкулеза, особенно учитывая возможность получения ложноотрицательных результатов тестов на латентный туберкулез (например, у тяжелых больных и у </w:t>
      </w:r>
      <w:proofErr w:type="spellStart"/>
      <w:r w:rsidRPr="00C16AC0">
        <w:rPr>
          <w:rFonts w:ascii="Times New Roman" w:hAnsi="Times New Roman"/>
          <w:iCs/>
          <w:sz w:val="28"/>
          <w:szCs w:val="28"/>
        </w:rPr>
        <w:t>иммуноскомпрометированных</w:t>
      </w:r>
      <w:proofErr w:type="spellEnd"/>
      <w:r w:rsidRPr="00C16AC0">
        <w:rPr>
          <w:rFonts w:ascii="Times New Roman" w:hAnsi="Times New Roman"/>
          <w:iCs/>
          <w:sz w:val="28"/>
          <w:szCs w:val="28"/>
        </w:rPr>
        <w:t xml:space="preserve"> пациентов).</w:t>
      </w:r>
    </w:p>
    <w:p w14:paraId="7F51D092"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Все пациенты должны быть предупреждены о необходимости консультации врача при появлении признаков/симптомов, напоминающих туберкулез (например, постоянный кашель, уменьшение массы тела, субфебрильная температура, апатия) во время или после лечения препаратом СинноРА.</w:t>
      </w:r>
    </w:p>
    <w:p w14:paraId="00BB7165"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Другие оппортунистические инфекции</w:t>
      </w:r>
    </w:p>
    <w:p w14:paraId="31F9E903"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При лечении препаратом СинноРА сообщалось о развитии оппортунистических инфекций, в том числе инвазивных грибковых инфекций. Иногда такие инфекции своевременно не диагностировались, что приводило к позднему началу лечения и иногда завершалось фатально. Пациенты, получавшие терапию блокаторами ФНО, более подвержены развитию серьезных грибковых инфекций, таких как </w:t>
      </w:r>
      <w:proofErr w:type="spellStart"/>
      <w:r w:rsidRPr="00C16AC0">
        <w:rPr>
          <w:rFonts w:ascii="Times New Roman" w:hAnsi="Times New Roman"/>
          <w:iCs/>
          <w:sz w:val="28"/>
          <w:szCs w:val="28"/>
        </w:rPr>
        <w:t>гистоплазмоз</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кокцидоидомикоз</w:t>
      </w:r>
      <w:proofErr w:type="spellEnd"/>
      <w:r w:rsidRPr="00C16AC0">
        <w:rPr>
          <w:rFonts w:ascii="Times New Roman" w:hAnsi="Times New Roman"/>
          <w:iCs/>
          <w:sz w:val="28"/>
          <w:szCs w:val="28"/>
        </w:rPr>
        <w:t xml:space="preserve">, бластомикоз, аспергиллез, кандидоз и другие. Всех пациентов при развитии лихорадки, недомогания, уменьшения массы тела, повышенной потливости, кашля, одышки и/или инфильтратов в легких или других признаков серьезного системного заболевания (с шоком или без), следует немедленно обследовать относительно обнаружения возбудителей оппортунистических инфекций. </w:t>
      </w:r>
    </w:p>
    <w:p w14:paraId="5B6CF035"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lastRenderedPageBreak/>
        <w:t xml:space="preserve">У пациентов, которые проживают или находятся в эндемичных по микозам регионах, инвазивные грибковые инфекции следует подозревать при появлении соответствующих симптомов системных грибковых инфекций, так как существует повышенный риск развития </w:t>
      </w:r>
      <w:proofErr w:type="spellStart"/>
      <w:r w:rsidRPr="00C16AC0">
        <w:rPr>
          <w:rFonts w:ascii="Times New Roman" w:hAnsi="Times New Roman"/>
          <w:iCs/>
          <w:sz w:val="28"/>
          <w:szCs w:val="28"/>
        </w:rPr>
        <w:t>гистоплазмоза</w:t>
      </w:r>
      <w:proofErr w:type="spellEnd"/>
      <w:r w:rsidRPr="00C16AC0">
        <w:rPr>
          <w:rFonts w:ascii="Times New Roman" w:hAnsi="Times New Roman"/>
          <w:iCs/>
          <w:sz w:val="28"/>
          <w:szCs w:val="28"/>
        </w:rPr>
        <w:t xml:space="preserve"> или других инвазивных грибковых инфекций. Следует проводить пробную </w:t>
      </w:r>
      <w:proofErr w:type="spellStart"/>
      <w:r w:rsidRPr="00C16AC0">
        <w:rPr>
          <w:rFonts w:ascii="Times New Roman" w:hAnsi="Times New Roman"/>
          <w:i/>
          <w:iCs/>
          <w:sz w:val="28"/>
          <w:szCs w:val="28"/>
        </w:rPr>
        <w:t>ex</w:t>
      </w:r>
      <w:proofErr w:type="spellEnd"/>
      <w:r w:rsidRPr="00C16AC0">
        <w:rPr>
          <w:rFonts w:ascii="Times New Roman" w:hAnsi="Times New Roman"/>
          <w:i/>
          <w:iCs/>
          <w:sz w:val="28"/>
          <w:szCs w:val="28"/>
        </w:rPr>
        <w:t xml:space="preserve"> </w:t>
      </w:r>
      <w:proofErr w:type="spellStart"/>
      <w:r w:rsidRPr="00C16AC0">
        <w:rPr>
          <w:rFonts w:ascii="Times New Roman" w:hAnsi="Times New Roman"/>
          <w:i/>
          <w:iCs/>
          <w:sz w:val="28"/>
          <w:szCs w:val="28"/>
        </w:rPr>
        <w:t>juvantibus</w:t>
      </w:r>
      <w:proofErr w:type="spellEnd"/>
      <w:r w:rsidRPr="00C16AC0">
        <w:rPr>
          <w:rFonts w:ascii="Times New Roman" w:hAnsi="Times New Roman"/>
          <w:iCs/>
          <w:sz w:val="28"/>
          <w:szCs w:val="28"/>
        </w:rPr>
        <w:t xml:space="preserve"> противогрибковую терапию до тех пор, пока не будет выявлен возбудитель. У некоторых пациентов результаты теста на обнаружение </w:t>
      </w:r>
      <w:proofErr w:type="spellStart"/>
      <w:r w:rsidRPr="00C16AC0">
        <w:rPr>
          <w:rFonts w:ascii="Times New Roman" w:hAnsi="Times New Roman"/>
          <w:iCs/>
          <w:sz w:val="28"/>
          <w:szCs w:val="28"/>
        </w:rPr>
        <w:t>гистоплазмозного</w:t>
      </w:r>
      <w:proofErr w:type="spellEnd"/>
      <w:r w:rsidRPr="00C16AC0">
        <w:rPr>
          <w:rFonts w:ascii="Times New Roman" w:hAnsi="Times New Roman"/>
          <w:iCs/>
          <w:sz w:val="28"/>
          <w:szCs w:val="28"/>
        </w:rPr>
        <w:t xml:space="preserve"> антигена или антител могут быть отрицательными даже при активной инфекции. При необходимости, решение о применении пробной противогрибковой терапии у таких больных следует принимать после консультации с врачом-микологом, с учетом оценки риска развития грибковой инфекции, а также риска от применения противогрибковой терапии. Рекомендуется прекратить применение блокатора ФНО-альфа при развитии тяжелой грибковой инфекции до тех пор, пока симптомы инфекции не будут устранены.</w:t>
      </w:r>
    </w:p>
    <w:p w14:paraId="7D47F79B"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Реактивация гепатита В</w:t>
      </w:r>
    </w:p>
    <w:p w14:paraId="4CF2EF71"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Применение блокаторов ФНО-альфа связывалось с реактивацией вируса гепатита В (ВГВ) у пациентов, являющихся хроническими носителями этого вируса. В некоторых случаях реактивация ВГВ на фоне терапии блокаторами ФНО была фатальной. В большинстве случаев пациенты одновременно получали и другие медицинские препараты, угнетающие иммунную систему, что могло повлиять на реактивацию ВГВ. До начала применения блокаторов ФНО следует обследовать пациентов из группы риска по ВГВ. Следует с осторожностью назначать блокаторы ФНО-альфа пациентам-носителям ВГВ, а в случае назначения – тщательно следить за появлением признаков и симптомов реактивации ВГВ во время терапии и в течение нескольких месяцев после прекращения лечения. Данных относительно эффективности и безопасности применения противовирусных препаратов для профилактики реактивации ВГВ одновременно с блокаторами ФНО-альфа у носителей не существуют. При реактивации ВГВ терапию препаратом СинноРА следует прекратить и назначить эффективное противовирусное лечение и соответствующую поддерживающую терапию.</w:t>
      </w:r>
    </w:p>
    <w:p w14:paraId="1ED89EE4"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Неврологические расстройства</w:t>
      </w:r>
    </w:p>
    <w:p w14:paraId="77544653"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При применении блокаторов ФНО-альфа, в том числе и препарата СинноРА, сообщалось о единичных случаях появления или обострения клинических симптомов и/или рентгенологических признаков </w:t>
      </w:r>
      <w:proofErr w:type="spellStart"/>
      <w:r w:rsidRPr="00C16AC0">
        <w:rPr>
          <w:rFonts w:ascii="Times New Roman" w:hAnsi="Times New Roman"/>
          <w:iCs/>
          <w:sz w:val="28"/>
          <w:szCs w:val="28"/>
        </w:rPr>
        <w:t>демиелинизирующих</w:t>
      </w:r>
      <w:proofErr w:type="spellEnd"/>
      <w:r w:rsidRPr="00C16AC0">
        <w:rPr>
          <w:rFonts w:ascii="Times New Roman" w:hAnsi="Times New Roman"/>
          <w:iCs/>
          <w:sz w:val="28"/>
          <w:szCs w:val="28"/>
        </w:rPr>
        <w:t xml:space="preserve"> заболеваний центральной нервной системы (включая рассеянный склероз, неврит зрительного нерва) и </w:t>
      </w:r>
      <w:proofErr w:type="spellStart"/>
      <w:r w:rsidRPr="00C16AC0">
        <w:rPr>
          <w:rFonts w:ascii="Times New Roman" w:hAnsi="Times New Roman"/>
          <w:iCs/>
          <w:sz w:val="28"/>
          <w:szCs w:val="28"/>
        </w:rPr>
        <w:t>демиелинизирующих</w:t>
      </w:r>
      <w:proofErr w:type="spellEnd"/>
      <w:r w:rsidRPr="00C16AC0">
        <w:rPr>
          <w:rFonts w:ascii="Times New Roman" w:hAnsi="Times New Roman"/>
          <w:iCs/>
          <w:sz w:val="28"/>
          <w:szCs w:val="28"/>
        </w:rPr>
        <w:t xml:space="preserve"> заболеваний периферической нервной системы (включая синдром </w:t>
      </w:r>
      <w:proofErr w:type="spellStart"/>
      <w:r w:rsidRPr="00C16AC0">
        <w:rPr>
          <w:rFonts w:ascii="Times New Roman" w:hAnsi="Times New Roman"/>
          <w:iCs/>
          <w:sz w:val="28"/>
          <w:szCs w:val="28"/>
        </w:rPr>
        <w:t>Гийена</w:t>
      </w:r>
      <w:proofErr w:type="spellEnd"/>
      <w:r w:rsidRPr="00C16AC0">
        <w:rPr>
          <w:rFonts w:ascii="Times New Roman" w:hAnsi="Times New Roman"/>
          <w:iCs/>
          <w:sz w:val="28"/>
          <w:szCs w:val="28"/>
        </w:rPr>
        <w:t xml:space="preserve">-Барре). Рекомендуется тщательная оценка пользы/риска применения препарата СинноРА у пациентов с имеющимися </w:t>
      </w:r>
      <w:proofErr w:type="spellStart"/>
      <w:r w:rsidRPr="00C16AC0">
        <w:rPr>
          <w:rFonts w:ascii="Times New Roman" w:hAnsi="Times New Roman"/>
          <w:iCs/>
          <w:sz w:val="28"/>
          <w:szCs w:val="28"/>
        </w:rPr>
        <w:t>демиелинизирующими</w:t>
      </w:r>
      <w:proofErr w:type="spellEnd"/>
      <w:r w:rsidRPr="00C16AC0">
        <w:rPr>
          <w:rFonts w:ascii="Times New Roman" w:hAnsi="Times New Roman"/>
          <w:iCs/>
          <w:sz w:val="28"/>
          <w:szCs w:val="28"/>
        </w:rPr>
        <w:t xml:space="preserve"> нарушениями центральной и периферической нервной системы. В случае возникновения любого из этих нарушений следует принять решение о прекращении применения препарата СинноРА.</w:t>
      </w:r>
    </w:p>
    <w:p w14:paraId="771AD283"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lastRenderedPageBreak/>
        <w:t>Злокачественные новообразования</w:t>
      </w:r>
    </w:p>
    <w:p w14:paraId="5B0AEF3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В контролируемых клинических исследованиях блокаторов ФНО-альфа чаще сообщалось о развитии злокачественных новообразований среди пациентов, получавших ФНО-альфа-блокатор, чем среди пациентов контрольной группы. Однако небольшая выборка пациентов контрольной группы и недостаточная длительность исследований не позволяют сделать определенные выводы. Более того, риск возникновения лимфомы повышается у пациентов с давним высокоактивным РА, что усложняет оценку риска. В течение длительных открытых клинических исследований адалимумаба общая частота возникновения злокачественных новообразований была аналогична таковой, которую можно было бы ожидать для общей популяции с такими же возрастными, половыми и расовыми параметрами. Однако нельзя исключать вероятный риск развития лимфом или других злокачественных новообразований у пациентов, которые лечатся антагонистами ФНО.</w:t>
      </w:r>
    </w:p>
    <w:p w14:paraId="4D88D68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Сообщалось об отдельных случаях развития злокачественных новообразований с летальным исходом среди детей и подростков, которые получали лечение блокаторами ФНО-альфа. Приблизительно половина из этих случаев – лимфомы, включая </w:t>
      </w:r>
      <w:proofErr w:type="spellStart"/>
      <w:r w:rsidRPr="00C16AC0">
        <w:rPr>
          <w:rFonts w:ascii="Times New Roman" w:hAnsi="Times New Roman"/>
          <w:iCs/>
          <w:sz w:val="28"/>
          <w:szCs w:val="28"/>
        </w:rPr>
        <w:t>ходжкинскую</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неходжкинскую</w:t>
      </w:r>
      <w:proofErr w:type="spellEnd"/>
      <w:r w:rsidRPr="00C16AC0">
        <w:rPr>
          <w:rFonts w:ascii="Times New Roman" w:hAnsi="Times New Roman"/>
          <w:iCs/>
          <w:sz w:val="28"/>
          <w:szCs w:val="28"/>
        </w:rPr>
        <w:t xml:space="preserve"> лимфомы. Другие случаи были представлены различными видами злокачественных новообразований, среди них сообщалось о редких случаях злокачественных новообразований, которые, как правило, связаны с </w:t>
      </w:r>
      <w:proofErr w:type="spellStart"/>
      <w:r w:rsidRPr="00C16AC0">
        <w:rPr>
          <w:rFonts w:ascii="Times New Roman" w:hAnsi="Times New Roman"/>
          <w:iCs/>
          <w:sz w:val="28"/>
          <w:szCs w:val="28"/>
        </w:rPr>
        <w:t>иммуносупрессией</w:t>
      </w:r>
      <w:proofErr w:type="spellEnd"/>
      <w:r w:rsidRPr="00C16AC0">
        <w:rPr>
          <w:rFonts w:ascii="Times New Roman" w:hAnsi="Times New Roman"/>
          <w:iCs/>
          <w:sz w:val="28"/>
          <w:szCs w:val="28"/>
        </w:rPr>
        <w:t xml:space="preserve">. Злокачественные новообразования возникали в среднем после 30 месяцев терапии. Большинство пациентов одновременно принимали </w:t>
      </w:r>
      <w:proofErr w:type="spellStart"/>
      <w:r w:rsidRPr="00C16AC0">
        <w:rPr>
          <w:rFonts w:ascii="Times New Roman" w:hAnsi="Times New Roman"/>
          <w:iCs/>
          <w:sz w:val="28"/>
          <w:szCs w:val="28"/>
        </w:rPr>
        <w:t>иммуносупрессанты</w:t>
      </w:r>
      <w:proofErr w:type="spellEnd"/>
      <w:r w:rsidRPr="00C16AC0">
        <w:rPr>
          <w:rFonts w:ascii="Times New Roman" w:hAnsi="Times New Roman"/>
          <w:iCs/>
          <w:sz w:val="28"/>
          <w:szCs w:val="28"/>
        </w:rPr>
        <w:t xml:space="preserve">. Эти сообщения были получены при </w:t>
      </w:r>
      <w:proofErr w:type="spellStart"/>
      <w:r w:rsidRPr="00C16AC0">
        <w:rPr>
          <w:rFonts w:ascii="Times New Roman" w:hAnsi="Times New Roman"/>
          <w:iCs/>
          <w:sz w:val="28"/>
          <w:szCs w:val="28"/>
        </w:rPr>
        <w:t>постмаркетинговом</w:t>
      </w:r>
      <w:proofErr w:type="spellEnd"/>
      <w:r w:rsidRPr="00C16AC0">
        <w:rPr>
          <w:rFonts w:ascii="Times New Roman" w:hAnsi="Times New Roman"/>
          <w:iCs/>
          <w:sz w:val="28"/>
          <w:szCs w:val="28"/>
        </w:rPr>
        <w:t xml:space="preserve"> наблюдении и поступали из различных источников, включая реестры и </w:t>
      </w:r>
      <w:proofErr w:type="spellStart"/>
      <w:r w:rsidRPr="00C16AC0">
        <w:rPr>
          <w:rFonts w:ascii="Times New Roman" w:hAnsi="Times New Roman"/>
          <w:iCs/>
          <w:sz w:val="28"/>
          <w:szCs w:val="28"/>
        </w:rPr>
        <w:t>постмаркетинговые</w:t>
      </w:r>
      <w:proofErr w:type="spellEnd"/>
      <w:r w:rsidRPr="00C16AC0">
        <w:rPr>
          <w:rFonts w:ascii="Times New Roman" w:hAnsi="Times New Roman"/>
          <w:iCs/>
          <w:sz w:val="28"/>
          <w:szCs w:val="28"/>
        </w:rPr>
        <w:t xml:space="preserve"> отчеты. </w:t>
      </w:r>
    </w:p>
    <w:p w14:paraId="159B751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В </w:t>
      </w:r>
      <w:proofErr w:type="spellStart"/>
      <w:r w:rsidRPr="00C16AC0">
        <w:rPr>
          <w:rFonts w:ascii="Times New Roman" w:hAnsi="Times New Roman"/>
          <w:iCs/>
          <w:sz w:val="28"/>
          <w:szCs w:val="28"/>
        </w:rPr>
        <w:t>постмаркетинговой</w:t>
      </w:r>
      <w:proofErr w:type="spellEnd"/>
      <w:r w:rsidRPr="00C16AC0">
        <w:rPr>
          <w:rFonts w:ascii="Times New Roman" w:hAnsi="Times New Roman"/>
          <w:iCs/>
          <w:sz w:val="28"/>
          <w:szCs w:val="28"/>
        </w:rPr>
        <w:t xml:space="preserve"> практике очень редко у пациентов, применявших </w:t>
      </w:r>
      <w:proofErr w:type="spellStart"/>
      <w:r w:rsidRPr="00C16AC0">
        <w:rPr>
          <w:rFonts w:ascii="Times New Roman" w:hAnsi="Times New Roman"/>
          <w:iCs/>
          <w:sz w:val="28"/>
          <w:szCs w:val="28"/>
        </w:rPr>
        <w:t>адалимумаб</w:t>
      </w:r>
      <w:proofErr w:type="spellEnd"/>
      <w:r w:rsidRPr="00C16AC0">
        <w:rPr>
          <w:rFonts w:ascii="Times New Roman" w:hAnsi="Times New Roman"/>
          <w:iCs/>
          <w:sz w:val="28"/>
          <w:szCs w:val="28"/>
        </w:rPr>
        <w:t xml:space="preserve">, сообщалось о развитии </w:t>
      </w:r>
      <w:proofErr w:type="spellStart"/>
      <w:r w:rsidRPr="00C16AC0">
        <w:rPr>
          <w:rFonts w:ascii="Times New Roman" w:hAnsi="Times New Roman"/>
          <w:iCs/>
          <w:sz w:val="28"/>
          <w:szCs w:val="28"/>
        </w:rPr>
        <w:t>гепатолиенальной</w:t>
      </w:r>
      <w:proofErr w:type="spellEnd"/>
      <w:r w:rsidRPr="00C16AC0">
        <w:rPr>
          <w:rFonts w:ascii="Times New Roman" w:hAnsi="Times New Roman"/>
          <w:iCs/>
          <w:sz w:val="28"/>
          <w:szCs w:val="28"/>
        </w:rPr>
        <w:t xml:space="preserve"> Т-клеточной лимфомы (редкий тип лимфомы, характеризующийся очень агрессивным течением и обычно являющийся фатальным). Большинство из этих пациентов ранее получали терапию </w:t>
      </w:r>
      <w:proofErr w:type="spellStart"/>
      <w:r w:rsidRPr="00C16AC0">
        <w:rPr>
          <w:rFonts w:ascii="Times New Roman" w:hAnsi="Times New Roman"/>
          <w:iCs/>
          <w:sz w:val="28"/>
          <w:szCs w:val="28"/>
        </w:rPr>
        <w:t>инфликсимабом</w:t>
      </w:r>
      <w:proofErr w:type="spellEnd"/>
      <w:r w:rsidRPr="00C16AC0">
        <w:rPr>
          <w:rFonts w:ascii="Times New Roman" w:hAnsi="Times New Roman"/>
          <w:iCs/>
          <w:sz w:val="28"/>
          <w:szCs w:val="28"/>
        </w:rPr>
        <w:t xml:space="preserve"> в комбинации с </w:t>
      </w:r>
      <w:proofErr w:type="spellStart"/>
      <w:r w:rsidRPr="00C16AC0">
        <w:rPr>
          <w:rFonts w:ascii="Times New Roman" w:hAnsi="Times New Roman"/>
          <w:iCs/>
          <w:sz w:val="28"/>
          <w:szCs w:val="28"/>
        </w:rPr>
        <w:t>азатиоприном</w:t>
      </w:r>
      <w:proofErr w:type="spellEnd"/>
      <w:r w:rsidRPr="00C16AC0">
        <w:rPr>
          <w:rFonts w:ascii="Times New Roman" w:hAnsi="Times New Roman"/>
          <w:iCs/>
          <w:sz w:val="28"/>
          <w:szCs w:val="28"/>
        </w:rPr>
        <w:t xml:space="preserve"> или 6-меркаптопурином для лечения воспалительных заболеваний кишечника. Потенциальный риск одновременного применения </w:t>
      </w:r>
      <w:proofErr w:type="spellStart"/>
      <w:r w:rsidRPr="00C16AC0">
        <w:rPr>
          <w:rFonts w:ascii="Times New Roman" w:hAnsi="Times New Roman"/>
          <w:iCs/>
          <w:sz w:val="28"/>
          <w:szCs w:val="28"/>
        </w:rPr>
        <w:t>азатиоприна</w:t>
      </w:r>
      <w:proofErr w:type="spellEnd"/>
      <w:r w:rsidRPr="00C16AC0">
        <w:rPr>
          <w:rFonts w:ascii="Times New Roman" w:hAnsi="Times New Roman"/>
          <w:iCs/>
          <w:sz w:val="28"/>
          <w:szCs w:val="28"/>
        </w:rPr>
        <w:t xml:space="preserve"> или 6-меркаптопурина с препаратом СинноРА должен быть тщательно оценен. Причинно-следственная связь между развитием </w:t>
      </w:r>
      <w:proofErr w:type="spellStart"/>
      <w:r w:rsidRPr="00C16AC0">
        <w:rPr>
          <w:rFonts w:ascii="Times New Roman" w:hAnsi="Times New Roman"/>
          <w:iCs/>
          <w:sz w:val="28"/>
          <w:szCs w:val="28"/>
        </w:rPr>
        <w:t>гепатолиенальной</w:t>
      </w:r>
      <w:proofErr w:type="spellEnd"/>
      <w:r w:rsidRPr="00C16AC0">
        <w:rPr>
          <w:rFonts w:ascii="Times New Roman" w:hAnsi="Times New Roman"/>
          <w:iCs/>
          <w:sz w:val="28"/>
          <w:szCs w:val="28"/>
        </w:rPr>
        <w:t xml:space="preserve"> Т-клеточной лимфомы и применением адалимумаба остается не выясненной.</w:t>
      </w:r>
    </w:p>
    <w:p w14:paraId="07E841C9"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Исследований по применению препарата СинноРА у пациентов со злокачественными новообразованиями в анамнезе или продолжению терапии у пациентов, у которых развилось злокачественное новообразование, не проводилось. Это нужно учитывать при принятии решения о применении препарата СинноРА у таких больных. У всех пациентов, особенно при интенсивной </w:t>
      </w:r>
      <w:proofErr w:type="spellStart"/>
      <w:r w:rsidRPr="00C16AC0">
        <w:rPr>
          <w:rFonts w:ascii="Times New Roman" w:hAnsi="Times New Roman"/>
          <w:iCs/>
          <w:sz w:val="28"/>
          <w:szCs w:val="28"/>
        </w:rPr>
        <w:t>иммуносупрессивной</w:t>
      </w:r>
      <w:proofErr w:type="spellEnd"/>
      <w:r w:rsidRPr="00C16AC0">
        <w:rPr>
          <w:rFonts w:ascii="Times New Roman" w:hAnsi="Times New Roman"/>
          <w:iCs/>
          <w:sz w:val="28"/>
          <w:szCs w:val="28"/>
        </w:rPr>
        <w:t xml:space="preserve"> терапии в анамнезе, или у пациентов с псориазом, которым проводилась PUVA-</w:t>
      </w:r>
      <w:r w:rsidRPr="00C16AC0">
        <w:rPr>
          <w:rFonts w:ascii="Times New Roman" w:hAnsi="Times New Roman"/>
          <w:iCs/>
          <w:sz w:val="28"/>
          <w:szCs w:val="28"/>
        </w:rPr>
        <w:lastRenderedPageBreak/>
        <w:t xml:space="preserve">терапия, следует исключить наличие </w:t>
      </w:r>
      <w:proofErr w:type="spellStart"/>
      <w:r w:rsidRPr="00C16AC0">
        <w:rPr>
          <w:rFonts w:ascii="Times New Roman" w:hAnsi="Times New Roman"/>
          <w:iCs/>
          <w:sz w:val="28"/>
          <w:szCs w:val="28"/>
        </w:rPr>
        <w:t>немеланомного</w:t>
      </w:r>
      <w:proofErr w:type="spellEnd"/>
      <w:r w:rsidRPr="00C16AC0">
        <w:rPr>
          <w:rFonts w:ascii="Times New Roman" w:hAnsi="Times New Roman"/>
          <w:iCs/>
          <w:sz w:val="28"/>
          <w:szCs w:val="28"/>
        </w:rPr>
        <w:t xml:space="preserve"> рака кожи до и во время применения препарата СинноРА.</w:t>
      </w:r>
    </w:p>
    <w:p w14:paraId="74307F9A"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В </w:t>
      </w:r>
      <w:proofErr w:type="spellStart"/>
      <w:r w:rsidRPr="00C16AC0">
        <w:rPr>
          <w:rFonts w:ascii="Times New Roman" w:hAnsi="Times New Roman"/>
          <w:iCs/>
          <w:sz w:val="28"/>
          <w:szCs w:val="28"/>
        </w:rPr>
        <w:t>постмаркетинговой</w:t>
      </w:r>
      <w:proofErr w:type="spellEnd"/>
      <w:r w:rsidRPr="00C16AC0">
        <w:rPr>
          <w:rFonts w:ascii="Times New Roman" w:hAnsi="Times New Roman"/>
          <w:iCs/>
          <w:sz w:val="28"/>
          <w:szCs w:val="28"/>
        </w:rPr>
        <w:t xml:space="preserve"> практике сообщалось о случаях острой и хронической лейкемии, связанной с приемом блокаторов ФНО-альфа при ревматоидном артрите, а также при других показаниях. Пациенты с ревматоидным артритом могут быть в группе повышенного риска по развитию лейкемии (практически в два раза), чем общая популяция, даже при отсутствии терапии ФНО-альфа-блокаторами. </w:t>
      </w:r>
    </w:p>
    <w:p w14:paraId="039C3102"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На настоящий момент неизвестно, влияет ли применение адалимумаба на риск развития дисплазии или рака кишечника. Все пациенты с язвенным колитом, которые входят в группу с повышенным риском развития дисплазии или рака кишечника (например, пациенты с продолжительным язвенным колитом или первичным склерозирующим холангитом), или те, которые имели в анамнезе дисплазию или рак кишечника, должны проходить регулярные обследования относительно наличия дисплазии перед началом терапии и на протяжении всей болезни. Обследование должно включать колоноскопию и биопсию. </w:t>
      </w:r>
    </w:p>
    <w:p w14:paraId="1A10C929"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Аллергия</w:t>
      </w:r>
    </w:p>
    <w:p w14:paraId="1101DC8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Во время клинических исследований серьезные аллергические реакции, связанные с применением адалимумаба, возникали редко. Сообщалось о серьезных аллергических реакциях, включая анафилаксию, после введения препарата СинноРА. При возникновении анафилактической реакции или другой серьезной аллергической реакции применение препарата СинноРА необходимо немедленно прекратить и начать соответствующую терапию.</w:t>
      </w:r>
    </w:p>
    <w:p w14:paraId="0F76B89C"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Гематологические расстройства</w:t>
      </w:r>
    </w:p>
    <w:p w14:paraId="5894F2AA"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Редко при применении блокаторов ФНО сообщалось о развитии </w:t>
      </w:r>
      <w:proofErr w:type="spellStart"/>
      <w:r w:rsidRPr="00C16AC0">
        <w:rPr>
          <w:rFonts w:ascii="Times New Roman" w:hAnsi="Times New Roman"/>
          <w:iCs/>
          <w:sz w:val="28"/>
          <w:szCs w:val="28"/>
        </w:rPr>
        <w:t>панцитопении</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апластической</w:t>
      </w:r>
      <w:proofErr w:type="spellEnd"/>
      <w:r w:rsidRPr="00C16AC0">
        <w:rPr>
          <w:rFonts w:ascii="Times New Roman" w:hAnsi="Times New Roman"/>
          <w:iCs/>
          <w:sz w:val="28"/>
          <w:szCs w:val="28"/>
        </w:rPr>
        <w:t xml:space="preserve"> анемии. При применении препарата СинноРА (причинно-следственная связь не выяснена) сообщалось о развитии </w:t>
      </w:r>
      <w:proofErr w:type="spellStart"/>
      <w:r w:rsidRPr="00C16AC0">
        <w:rPr>
          <w:rFonts w:ascii="Times New Roman" w:hAnsi="Times New Roman"/>
          <w:iCs/>
          <w:sz w:val="28"/>
          <w:szCs w:val="28"/>
        </w:rPr>
        <w:t>цитопении</w:t>
      </w:r>
      <w:proofErr w:type="spellEnd"/>
      <w:r w:rsidRPr="00C16AC0">
        <w:rPr>
          <w:rFonts w:ascii="Times New Roman" w:hAnsi="Times New Roman"/>
          <w:iCs/>
          <w:sz w:val="28"/>
          <w:szCs w:val="28"/>
        </w:rPr>
        <w:t xml:space="preserve"> (тромбоцитопении, лейкопении), имеющей клиническое значение. Все пациенты должны быть предупреждены о необходимости немедленной консультации врача при появлении признаков или симптомов, присущих заболеваниям крови (например, постоянный жар, кровоподтеки, кровотечение, бледность кожи и слизистых оболочек) на фоне применения препарата СинноРА. Следует рассмотреть необходимость прекращения применения препарата СинноРА у пациентов при подтверждении серьезных отклонений со стороны крови.</w:t>
      </w:r>
    </w:p>
    <w:p w14:paraId="652E5439"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 xml:space="preserve">Одновременное применение с биологическими </w:t>
      </w:r>
      <w:proofErr w:type="spellStart"/>
      <w:r w:rsidRPr="00C16AC0">
        <w:rPr>
          <w:rFonts w:ascii="Times New Roman" w:hAnsi="Times New Roman"/>
          <w:i/>
          <w:iCs/>
          <w:sz w:val="28"/>
          <w:szCs w:val="28"/>
        </w:rPr>
        <w:t>DMARDs</w:t>
      </w:r>
      <w:proofErr w:type="spellEnd"/>
      <w:r w:rsidRPr="00C16AC0">
        <w:rPr>
          <w:rFonts w:ascii="Times New Roman" w:hAnsi="Times New Roman"/>
          <w:i/>
          <w:iCs/>
          <w:sz w:val="28"/>
          <w:szCs w:val="28"/>
        </w:rPr>
        <w:t xml:space="preserve"> или антагонистами ФНО </w:t>
      </w:r>
    </w:p>
    <w:p w14:paraId="3D620133"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Наблюдались серьезные инфекции во время клинических испытаний при сопутствующем применении </w:t>
      </w:r>
      <w:proofErr w:type="spellStart"/>
      <w:r w:rsidRPr="00C16AC0">
        <w:rPr>
          <w:rFonts w:ascii="Times New Roman" w:hAnsi="Times New Roman"/>
          <w:iCs/>
          <w:sz w:val="28"/>
          <w:szCs w:val="28"/>
        </w:rPr>
        <w:t>анакинры</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этанер</w:t>
      </w:r>
      <w:proofErr w:type="spellEnd"/>
      <w:r w:rsidR="00736B44" w:rsidRPr="00C16AC0">
        <w:rPr>
          <w:rFonts w:ascii="Times New Roman" w:hAnsi="Times New Roman"/>
          <w:iCs/>
          <w:sz w:val="28"/>
          <w:szCs w:val="28"/>
          <w:lang w:val="kk-KZ"/>
        </w:rPr>
        <w:t>ц</w:t>
      </w:r>
      <w:proofErr w:type="spellStart"/>
      <w:r w:rsidRPr="00C16AC0">
        <w:rPr>
          <w:rFonts w:ascii="Times New Roman" w:hAnsi="Times New Roman"/>
          <w:iCs/>
          <w:sz w:val="28"/>
          <w:szCs w:val="28"/>
        </w:rPr>
        <w:t>епта</w:t>
      </w:r>
      <w:proofErr w:type="spellEnd"/>
      <w:r w:rsidRPr="00C16AC0">
        <w:rPr>
          <w:rFonts w:ascii="Times New Roman" w:hAnsi="Times New Roman"/>
          <w:iCs/>
          <w:sz w:val="28"/>
          <w:szCs w:val="28"/>
        </w:rPr>
        <w:t xml:space="preserve">, что не имело терапевтических преимуществ по сравнению с </w:t>
      </w:r>
      <w:proofErr w:type="spellStart"/>
      <w:r w:rsidRPr="00C16AC0">
        <w:rPr>
          <w:rFonts w:ascii="Times New Roman" w:hAnsi="Times New Roman"/>
          <w:iCs/>
          <w:sz w:val="28"/>
          <w:szCs w:val="28"/>
        </w:rPr>
        <w:t>монотерапией</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этанер</w:t>
      </w:r>
      <w:proofErr w:type="spellEnd"/>
      <w:r w:rsidR="00736B44" w:rsidRPr="00C16AC0">
        <w:rPr>
          <w:rFonts w:ascii="Times New Roman" w:hAnsi="Times New Roman"/>
          <w:iCs/>
          <w:sz w:val="28"/>
          <w:szCs w:val="28"/>
          <w:lang w:val="kk-KZ"/>
        </w:rPr>
        <w:t>ц</w:t>
      </w:r>
      <w:proofErr w:type="spellStart"/>
      <w:r w:rsidRPr="00C16AC0">
        <w:rPr>
          <w:rFonts w:ascii="Times New Roman" w:hAnsi="Times New Roman"/>
          <w:iCs/>
          <w:sz w:val="28"/>
          <w:szCs w:val="28"/>
        </w:rPr>
        <w:t>ептом</w:t>
      </w:r>
      <w:proofErr w:type="spellEnd"/>
      <w:r w:rsidRPr="00C16AC0">
        <w:rPr>
          <w:rFonts w:ascii="Times New Roman" w:hAnsi="Times New Roman"/>
          <w:iCs/>
          <w:sz w:val="28"/>
          <w:szCs w:val="28"/>
        </w:rPr>
        <w:t xml:space="preserve">. Исходя из характера побочных явлений, наблюдавшихся во время комбинированного лечения </w:t>
      </w:r>
      <w:proofErr w:type="spellStart"/>
      <w:r w:rsidRPr="00C16AC0">
        <w:rPr>
          <w:rFonts w:ascii="Times New Roman" w:hAnsi="Times New Roman"/>
          <w:iCs/>
          <w:sz w:val="28"/>
          <w:szCs w:val="28"/>
        </w:rPr>
        <w:t>этанер</w:t>
      </w:r>
      <w:proofErr w:type="spellEnd"/>
      <w:r w:rsidR="00736B44" w:rsidRPr="00C16AC0">
        <w:rPr>
          <w:rFonts w:ascii="Times New Roman" w:hAnsi="Times New Roman"/>
          <w:iCs/>
          <w:sz w:val="28"/>
          <w:szCs w:val="28"/>
          <w:lang w:val="kk-KZ"/>
        </w:rPr>
        <w:t>ц</w:t>
      </w:r>
      <w:proofErr w:type="spellStart"/>
      <w:r w:rsidRPr="00C16AC0">
        <w:rPr>
          <w:rFonts w:ascii="Times New Roman" w:hAnsi="Times New Roman"/>
          <w:iCs/>
          <w:sz w:val="28"/>
          <w:szCs w:val="28"/>
        </w:rPr>
        <w:t>ептом</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анакинрой</w:t>
      </w:r>
      <w:proofErr w:type="spellEnd"/>
      <w:r w:rsidRPr="00C16AC0">
        <w:rPr>
          <w:rFonts w:ascii="Times New Roman" w:hAnsi="Times New Roman"/>
          <w:iCs/>
          <w:sz w:val="28"/>
          <w:szCs w:val="28"/>
        </w:rPr>
        <w:t xml:space="preserve">, подобная токсичность может развиться и при комбинации </w:t>
      </w:r>
      <w:proofErr w:type="spellStart"/>
      <w:r w:rsidRPr="00C16AC0">
        <w:rPr>
          <w:rFonts w:ascii="Times New Roman" w:hAnsi="Times New Roman"/>
          <w:iCs/>
          <w:sz w:val="28"/>
          <w:szCs w:val="28"/>
        </w:rPr>
        <w:t>анакинры</w:t>
      </w:r>
      <w:proofErr w:type="spellEnd"/>
      <w:r w:rsidRPr="00C16AC0">
        <w:rPr>
          <w:rFonts w:ascii="Times New Roman" w:hAnsi="Times New Roman"/>
          <w:iCs/>
          <w:sz w:val="28"/>
          <w:szCs w:val="28"/>
        </w:rPr>
        <w:t xml:space="preserve"> и другого </w:t>
      </w:r>
      <w:r w:rsidRPr="00C16AC0">
        <w:rPr>
          <w:rFonts w:ascii="Times New Roman" w:hAnsi="Times New Roman"/>
          <w:iCs/>
          <w:sz w:val="28"/>
          <w:szCs w:val="28"/>
        </w:rPr>
        <w:lastRenderedPageBreak/>
        <w:t xml:space="preserve">блокатора ФНО-альфа. Поэтому комбинация препарата </w:t>
      </w:r>
      <w:proofErr w:type="spellStart"/>
      <w:r w:rsidRPr="00C16AC0">
        <w:rPr>
          <w:rFonts w:ascii="Times New Roman" w:hAnsi="Times New Roman"/>
          <w:iCs/>
          <w:sz w:val="28"/>
          <w:szCs w:val="28"/>
        </w:rPr>
        <w:t>СинноРА</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анакинры</w:t>
      </w:r>
      <w:proofErr w:type="spellEnd"/>
      <w:r w:rsidRPr="00C16AC0">
        <w:rPr>
          <w:rFonts w:ascii="Times New Roman" w:hAnsi="Times New Roman"/>
          <w:iCs/>
          <w:sz w:val="28"/>
          <w:szCs w:val="28"/>
        </w:rPr>
        <w:t xml:space="preserve"> не рекомендуется.</w:t>
      </w:r>
    </w:p>
    <w:p w14:paraId="73D4C9F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Одновременное применение адалимумаба с другими биологическими </w:t>
      </w:r>
      <w:proofErr w:type="spellStart"/>
      <w:r w:rsidRPr="00C16AC0">
        <w:rPr>
          <w:rFonts w:ascii="Times New Roman" w:hAnsi="Times New Roman"/>
          <w:iCs/>
          <w:sz w:val="28"/>
          <w:szCs w:val="28"/>
        </w:rPr>
        <w:t>DMARDs</w:t>
      </w:r>
      <w:proofErr w:type="spellEnd"/>
      <w:r w:rsidRPr="00C16AC0">
        <w:rPr>
          <w:rFonts w:ascii="Times New Roman" w:hAnsi="Times New Roman"/>
          <w:iCs/>
          <w:sz w:val="28"/>
          <w:szCs w:val="28"/>
        </w:rPr>
        <w:t xml:space="preserve"> (например, </w:t>
      </w:r>
      <w:proofErr w:type="spellStart"/>
      <w:r w:rsidRPr="00C16AC0">
        <w:rPr>
          <w:rFonts w:ascii="Times New Roman" w:hAnsi="Times New Roman"/>
          <w:iCs/>
          <w:sz w:val="28"/>
          <w:szCs w:val="28"/>
        </w:rPr>
        <w:t>анакинра</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абатацепт</w:t>
      </w:r>
      <w:proofErr w:type="spellEnd"/>
      <w:r w:rsidRPr="00C16AC0">
        <w:rPr>
          <w:rFonts w:ascii="Times New Roman" w:hAnsi="Times New Roman"/>
          <w:iCs/>
          <w:sz w:val="28"/>
          <w:szCs w:val="28"/>
        </w:rPr>
        <w:t>) или с другими антагонистами ФНО-альфа не рекомендуется, основываясь на возможном повышении риска инфекций и других потенциальных фармакологических взаимодействий.</w:t>
      </w:r>
    </w:p>
    <w:p w14:paraId="455594D3" w14:textId="77777777" w:rsidR="00161092" w:rsidRPr="00C16AC0" w:rsidRDefault="00161092" w:rsidP="00161092">
      <w:pPr>
        <w:spacing w:after="0" w:line="240" w:lineRule="auto"/>
        <w:jc w:val="both"/>
        <w:rPr>
          <w:rFonts w:ascii="Times New Roman" w:hAnsi="Times New Roman"/>
          <w:bCs/>
          <w:i/>
          <w:iCs/>
          <w:sz w:val="28"/>
          <w:szCs w:val="28"/>
        </w:rPr>
      </w:pPr>
      <w:proofErr w:type="spellStart"/>
      <w:r w:rsidRPr="00C16AC0">
        <w:rPr>
          <w:rFonts w:ascii="Times New Roman" w:hAnsi="Times New Roman"/>
          <w:bCs/>
          <w:i/>
          <w:iCs/>
          <w:sz w:val="28"/>
          <w:szCs w:val="28"/>
        </w:rPr>
        <w:t>Иммуносупрессия</w:t>
      </w:r>
      <w:proofErr w:type="spellEnd"/>
      <w:r w:rsidRPr="00C16AC0">
        <w:rPr>
          <w:rFonts w:ascii="Times New Roman" w:hAnsi="Times New Roman"/>
          <w:bCs/>
          <w:i/>
          <w:iCs/>
          <w:sz w:val="28"/>
          <w:szCs w:val="28"/>
        </w:rPr>
        <w:t xml:space="preserve"> </w:t>
      </w:r>
    </w:p>
    <w:p w14:paraId="7F3B3931"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Во время клинических исследований адалимумаба у 64 пациентов с РА не наблюдалось случаев подавления гиперчувствительности замедленного типа, снижения уровней иммуноглобулинов или количественных изменений </w:t>
      </w:r>
      <w:proofErr w:type="spellStart"/>
      <w:r w:rsidRPr="00C16AC0">
        <w:rPr>
          <w:rFonts w:ascii="Times New Roman" w:hAnsi="Times New Roman"/>
          <w:iCs/>
          <w:sz w:val="28"/>
          <w:szCs w:val="28"/>
        </w:rPr>
        <w:t>эффекторных</w:t>
      </w:r>
      <w:proofErr w:type="spellEnd"/>
      <w:r w:rsidRPr="00C16AC0">
        <w:rPr>
          <w:rFonts w:ascii="Times New Roman" w:hAnsi="Times New Roman"/>
          <w:iCs/>
          <w:sz w:val="28"/>
          <w:szCs w:val="28"/>
        </w:rPr>
        <w:t xml:space="preserve"> Т- и В-клеток, а также NK-клеток</w:t>
      </w:r>
      <w:r w:rsidRPr="00C16AC0">
        <w:rPr>
          <w:rFonts w:ascii="Times New Roman" w:hAnsi="Times New Roman"/>
          <w:iCs/>
          <w:vanish/>
          <w:sz w:val="28"/>
          <w:szCs w:val="28"/>
        </w:rPr>
        <w:t>|</w:t>
      </w:r>
      <w:r w:rsidRPr="00C16AC0">
        <w:rPr>
          <w:rFonts w:ascii="Times New Roman" w:hAnsi="Times New Roman"/>
          <w:iCs/>
          <w:sz w:val="28"/>
          <w:szCs w:val="28"/>
        </w:rPr>
        <w:t>, моноцитов/макрофагов и нейтрофилов.</w:t>
      </w:r>
    </w:p>
    <w:p w14:paraId="1E0E0523"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Вакцинация</w:t>
      </w:r>
    </w:p>
    <w:p w14:paraId="1AE7DEC4"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Пациентам во время применения препарата СинноРА можно проводить вакцинацию, за исключением применения живых вакцин. Данных относительно вторичной передачи инфекции живыми вакцинами у пациентов, получавших препарат СинноРА, не существует.</w:t>
      </w:r>
    </w:p>
    <w:p w14:paraId="4C59D0E1"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Для пациентов с ЮРА рекомендовано, по возможности, провести все необходимые прививки согласно календарю до начала терапии препаратом СинноРА.</w:t>
      </w:r>
    </w:p>
    <w:p w14:paraId="2CAF331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Применение живых вакцин младенцам, которые подвергались воздействию адалимумаба внутриутробно, не рекомендуется в течение 5 месяцев после последней инъекции адалимумаба у матери во время беременности.</w:t>
      </w:r>
    </w:p>
    <w:p w14:paraId="58489E2D"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Хроническая сердечная недостаточность (ХСН)</w:t>
      </w:r>
    </w:p>
    <w:p w14:paraId="74E8F87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Применение препарата СинноРА у пациентов с хронической сердечной недостаточностью не исследовалось, однако в клинических исследованиях с другим блокатором ФНО-альфа сообщалось о повышенной частоте побочных явлений, связанных с ХСН, включая усугубление течения ХСН и впервые выявленной ХСН. Сообщалось также о случаях прогрессирования ХСН у пациентов на терапии препаратом СинноРА. Препарат СинноРА следует с осторожностью применять у пациентов с сердечной недостаточностью под тщательным контролем их состояния.</w:t>
      </w:r>
    </w:p>
    <w:p w14:paraId="2891D2F1"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Аутоиммунные процессы</w:t>
      </w:r>
    </w:p>
    <w:p w14:paraId="7D562104"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Лечение препаратом СинноРА может повлечь появление </w:t>
      </w:r>
      <w:proofErr w:type="spellStart"/>
      <w:r w:rsidRPr="00C16AC0">
        <w:rPr>
          <w:rFonts w:ascii="Times New Roman" w:hAnsi="Times New Roman"/>
          <w:iCs/>
          <w:sz w:val="28"/>
          <w:szCs w:val="28"/>
        </w:rPr>
        <w:t>аутоантител</w:t>
      </w:r>
      <w:proofErr w:type="spellEnd"/>
      <w:r w:rsidRPr="00C16AC0">
        <w:rPr>
          <w:rFonts w:ascii="Times New Roman" w:hAnsi="Times New Roman"/>
          <w:iCs/>
          <w:sz w:val="28"/>
          <w:szCs w:val="28"/>
        </w:rPr>
        <w:t>. Влияние длительного применения препарата СинноРА на развитие аутоиммунных заболеваний неизвестно. При возникновении симптомов, напоминающих волчаночный синдром, лечение препаратом СинноРА необходимо прекратить.</w:t>
      </w:r>
    </w:p>
    <w:p w14:paraId="6C3DA2DE"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Прерывание лечения</w:t>
      </w:r>
    </w:p>
    <w:p w14:paraId="139E07C7"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Существующие данные свидетельствуют о том, что повторное применение препарата СинноРА после семидесятидневного или более перерыва приводит к возобновлению такого же клинического ответа и профиля безопасности, как и до прерывания лечения.</w:t>
      </w:r>
    </w:p>
    <w:p w14:paraId="309D0AC7"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lastRenderedPageBreak/>
        <w:t>Дети</w:t>
      </w:r>
    </w:p>
    <w:p w14:paraId="13B33196"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 ЮРА проведены клинические исследования с участием детей старше 2 лет. Так как сложно определить в шприце дозу, необходимую для детей от 2 до 4 лет, применяется другая лекарственная форма препарата адалимумаба.</w:t>
      </w:r>
    </w:p>
    <w:p w14:paraId="5C82114C"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У детей младше 2 лет нет данных, подтверждающих безопасность и эффективность.</w:t>
      </w:r>
    </w:p>
    <w:p w14:paraId="04DE673B"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Лица пожилого возраста</w:t>
      </w:r>
    </w:p>
    <w:p w14:paraId="632AF502" w14:textId="77777777" w:rsidR="00161092" w:rsidRPr="00C16AC0" w:rsidRDefault="00161092" w:rsidP="00161092">
      <w:pPr>
        <w:spacing w:after="0" w:line="240" w:lineRule="auto"/>
        <w:jc w:val="both"/>
        <w:rPr>
          <w:rFonts w:ascii="Times New Roman" w:hAnsi="Times New Roman"/>
          <w:iCs/>
          <w:sz w:val="28"/>
          <w:szCs w:val="28"/>
        </w:rPr>
      </w:pPr>
      <w:bookmarkStart w:id="11" w:name="_Hlk52962098"/>
      <w:r w:rsidRPr="00C16AC0">
        <w:rPr>
          <w:rFonts w:ascii="Times New Roman" w:hAnsi="Times New Roman"/>
          <w:iCs/>
          <w:sz w:val="28"/>
          <w:szCs w:val="28"/>
        </w:rPr>
        <w:t xml:space="preserve">Частота развития серьезных инфекций </w:t>
      </w:r>
      <w:r w:rsidR="003E07A7" w:rsidRPr="00C16AC0">
        <w:rPr>
          <w:rFonts w:ascii="Times New Roman" w:hAnsi="Times New Roman"/>
          <w:iCs/>
          <w:sz w:val="28"/>
          <w:szCs w:val="28"/>
        </w:rPr>
        <w:t>и злокачественных</w:t>
      </w:r>
      <w:r w:rsidR="00334E72" w:rsidRPr="00C16AC0">
        <w:rPr>
          <w:rFonts w:ascii="Times New Roman" w:hAnsi="Times New Roman"/>
          <w:iCs/>
          <w:sz w:val="28"/>
          <w:szCs w:val="28"/>
        </w:rPr>
        <w:t xml:space="preserve"> новообразований</w:t>
      </w:r>
      <w:r w:rsidR="003E07A7" w:rsidRPr="00C16AC0">
        <w:rPr>
          <w:rFonts w:ascii="Times New Roman" w:hAnsi="Times New Roman"/>
          <w:iCs/>
          <w:sz w:val="28"/>
          <w:szCs w:val="28"/>
        </w:rPr>
        <w:t xml:space="preserve"> </w:t>
      </w:r>
      <w:r w:rsidRPr="00C16AC0">
        <w:rPr>
          <w:rFonts w:ascii="Times New Roman" w:hAnsi="Times New Roman"/>
          <w:iCs/>
          <w:sz w:val="28"/>
          <w:szCs w:val="28"/>
        </w:rPr>
        <w:t xml:space="preserve">у пациентов старше 65 лет, получавших препарат СинноРА, выше, чем у пациентов младшего возраста. В целом в клинических исследованиях принимали участие </w:t>
      </w:r>
      <w:r w:rsidR="003E07A7" w:rsidRPr="00C16AC0">
        <w:rPr>
          <w:rFonts w:ascii="Times New Roman" w:hAnsi="Times New Roman"/>
          <w:iCs/>
          <w:sz w:val="28"/>
          <w:szCs w:val="28"/>
        </w:rPr>
        <w:t>519</w:t>
      </w:r>
      <w:r w:rsidRPr="00C16AC0">
        <w:rPr>
          <w:rFonts w:ascii="Times New Roman" w:hAnsi="Times New Roman"/>
          <w:iCs/>
          <w:sz w:val="28"/>
          <w:szCs w:val="28"/>
        </w:rPr>
        <w:t xml:space="preserve"> пациентов в возрасте 65 лет и старше, из которых приблизительно </w:t>
      </w:r>
      <w:r w:rsidR="003E07A7" w:rsidRPr="00C16AC0">
        <w:rPr>
          <w:rFonts w:ascii="Times New Roman" w:hAnsi="Times New Roman"/>
          <w:iCs/>
          <w:sz w:val="28"/>
          <w:szCs w:val="28"/>
        </w:rPr>
        <w:t xml:space="preserve">107 </w:t>
      </w:r>
      <w:r w:rsidRPr="00C16AC0">
        <w:rPr>
          <w:rFonts w:ascii="Times New Roman" w:hAnsi="Times New Roman"/>
          <w:iCs/>
          <w:sz w:val="28"/>
          <w:szCs w:val="28"/>
        </w:rPr>
        <w:t xml:space="preserve"> </w:t>
      </w:r>
      <w:r w:rsidRPr="00C16AC0">
        <w:rPr>
          <w:rFonts w:ascii="Times New Roman" w:hAnsi="Times New Roman"/>
          <w:iCs/>
          <w:sz w:val="28"/>
          <w:szCs w:val="28"/>
        </w:rPr>
        <w:sym w:font="Symbol" w:char="F02D"/>
      </w:r>
      <w:r w:rsidRPr="00C16AC0">
        <w:rPr>
          <w:rFonts w:ascii="Times New Roman" w:hAnsi="Times New Roman"/>
          <w:iCs/>
          <w:sz w:val="28"/>
          <w:szCs w:val="28"/>
        </w:rPr>
        <w:t xml:space="preserve"> пациенты 75 лет и старше. В связи с тем, что частота развития инфекций </w:t>
      </w:r>
      <w:r w:rsidR="00334E72" w:rsidRPr="00C16AC0">
        <w:rPr>
          <w:rFonts w:ascii="Times New Roman" w:hAnsi="Times New Roman"/>
          <w:iCs/>
          <w:sz w:val="28"/>
          <w:szCs w:val="28"/>
        </w:rPr>
        <w:t xml:space="preserve">и злокачественных новообразований </w:t>
      </w:r>
      <w:r w:rsidRPr="00C16AC0">
        <w:rPr>
          <w:rFonts w:ascii="Times New Roman" w:hAnsi="Times New Roman"/>
          <w:iCs/>
          <w:sz w:val="28"/>
          <w:szCs w:val="28"/>
        </w:rPr>
        <w:t>у пациентов пожилого возраста выше, пациентам данной возрастной категории необходимо применять препарат СинноРА с осторожностью.</w:t>
      </w:r>
    </w:p>
    <w:bookmarkEnd w:id="11"/>
    <w:p w14:paraId="02063EDF"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Взаимодействия с другими лекарственными препаратами</w:t>
      </w:r>
    </w:p>
    <w:p w14:paraId="44A6AF21" w14:textId="77777777" w:rsidR="00161092" w:rsidRPr="00C16AC0" w:rsidRDefault="00161092" w:rsidP="00161092">
      <w:pPr>
        <w:spacing w:after="0" w:line="240" w:lineRule="auto"/>
        <w:jc w:val="both"/>
        <w:rPr>
          <w:rFonts w:ascii="Times New Roman" w:hAnsi="Times New Roman"/>
          <w:b/>
          <w:color w:val="000000"/>
          <w:sz w:val="28"/>
          <w:szCs w:val="28"/>
        </w:rPr>
      </w:pPr>
      <w:bookmarkStart w:id="12" w:name="_Hlk52962214"/>
      <w:r w:rsidRPr="00C16AC0">
        <w:rPr>
          <w:rFonts w:ascii="Times New Roman" w:hAnsi="Times New Roman"/>
          <w:color w:val="000000"/>
          <w:sz w:val="28"/>
          <w:szCs w:val="28"/>
        </w:rPr>
        <w:t>При одновременном применении препарата СинноРА и метотрексата у пациентов с РА (21 пациент), участвовавших в клиническом исследовании, никаких статистически значимых изменений в профилях концентрации метотрексата в сыворотке крови не обнаружено. Однако при однократном и многократном применении метотрексата уменьшились клиренсы адалимумаба на 29 % и 44 % соответственно. Поэтому изменение дозы препарата СинноРА или метотрексата не требуется.</w:t>
      </w:r>
    </w:p>
    <w:p w14:paraId="49994EB8"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Взаимодействия между препаратом СинноРА и другими препаратами (не метотрексатом) не исследовались. В клинических исследованиях не наблюдались клинически значимые взаимодействия при применении препарата СинноРА с препаратами DMARD (</w:t>
      </w:r>
      <w:proofErr w:type="spellStart"/>
      <w:r w:rsidRPr="00C16AC0">
        <w:rPr>
          <w:rFonts w:ascii="Times New Roman" w:hAnsi="Times New Roman"/>
          <w:color w:val="000000"/>
          <w:sz w:val="28"/>
          <w:szCs w:val="28"/>
        </w:rPr>
        <w:t>сульфасалазин</w:t>
      </w:r>
      <w:proofErr w:type="spellEnd"/>
      <w:r w:rsidRPr="00C16AC0">
        <w:rPr>
          <w:rFonts w:ascii="Times New Roman" w:hAnsi="Times New Roman"/>
          <w:color w:val="000000"/>
          <w:sz w:val="28"/>
          <w:szCs w:val="28"/>
        </w:rPr>
        <w:t xml:space="preserve">, </w:t>
      </w:r>
      <w:proofErr w:type="spellStart"/>
      <w:r w:rsidRPr="00C16AC0">
        <w:rPr>
          <w:rFonts w:ascii="Times New Roman" w:hAnsi="Times New Roman"/>
          <w:color w:val="000000"/>
          <w:sz w:val="28"/>
          <w:szCs w:val="28"/>
        </w:rPr>
        <w:t>гидрохлорохин</w:t>
      </w:r>
      <w:proofErr w:type="spellEnd"/>
      <w:r w:rsidRPr="00C16AC0">
        <w:rPr>
          <w:rFonts w:ascii="Times New Roman" w:hAnsi="Times New Roman"/>
          <w:color w:val="000000"/>
          <w:sz w:val="28"/>
          <w:szCs w:val="28"/>
        </w:rPr>
        <w:t xml:space="preserve">, </w:t>
      </w:r>
      <w:proofErr w:type="spellStart"/>
      <w:r w:rsidRPr="00C16AC0">
        <w:rPr>
          <w:rFonts w:ascii="Times New Roman" w:hAnsi="Times New Roman"/>
          <w:color w:val="000000"/>
          <w:sz w:val="28"/>
          <w:szCs w:val="28"/>
        </w:rPr>
        <w:t>лефлуномид</w:t>
      </w:r>
      <w:proofErr w:type="spellEnd"/>
      <w:r w:rsidRPr="00C16AC0">
        <w:rPr>
          <w:rFonts w:ascii="Times New Roman" w:hAnsi="Times New Roman"/>
          <w:color w:val="000000"/>
          <w:sz w:val="28"/>
          <w:szCs w:val="28"/>
        </w:rPr>
        <w:t xml:space="preserve"> и препараты золота), глюкокортикоидами, салицилатами, НПВП или анальгетиками.</w:t>
      </w:r>
    </w:p>
    <w:bookmarkEnd w:id="12"/>
    <w:p w14:paraId="196DCF80"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Специальные предупреждения</w:t>
      </w:r>
    </w:p>
    <w:p w14:paraId="24BE0F22" w14:textId="77777777" w:rsidR="00161092" w:rsidRPr="00C16AC0" w:rsidRDefault="00161092" w:rsidP="00161092">
      <w:pPr>
        <w:spacing w:after="0" w:line="240" w:lineRule="auto"/>
        <w:jc w:val="both"/>
        <w:rPr>
          <w:rFonts w:ascii="Times New Roman" w:hAnsi="Times New Roman"/>
          <w:i/>
          <w:iCs/>
          <w:color w:val="000000"/>
          <w:sz w:val="28"/>
          <w:szCs w:val="28"/>
        </w:rPr>
      </w:pPr>
      <w:r w:rsidRPr="00C16AC0">
        <w:rPr>
          <w:rFonts w:ascii="Times New Roman" w:hAnsi="Times New Roman"/>
          <w:i/>
          <w:iCs/>
          <w:color w:val="000000"/>
          <w:sz w:val="28"/>
          <w:szCs w:val="28"/>
        </w:rPr>
        <w:t>Беременность</w:t>
      </w:r>
    </w:p>
    <w:p w14:paraId="2A575695"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Исследование </w:t>
      </w:r>
      <w:proofErr w:type="spellStart"/>
      <w:r w:rsidRPr="00C16AC0">
        <w:rPr>
          <w:rFonts w:ascii="Times New Roman" w:hAnsi="Times New Roman"/>
          <w:color w:val="000000"/>
          <w:sz w:val="28"/>
          <w:szCs w:val="28"/>
        </w:rPr>
        <w:t>эмбриофетального</w:t>
      </w:r>
      <w:proofErr w:type="spellEnd"/>
      <w:r w:rsidRPr="00C16AC0">
        <w:rPr>
          <w:rFonts w:ascii="Times New Roman" w:hAnsi="Times New Roman"/>
          <w:color w:val="000000"/>
          <w:sz w:val="28"/>
          <w:szCs w:val="28"/>
        </w:rPr>
        <w:t xml:space="preserve"> перинатального токсического развития было проведено у макак-крабоедов (яванских макак) при дозах до 100 мг/кг в 373 раза от AUC человека при назначении 40 мг подкожно и не выявило признаков вреда для плода, вызванных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В </w:t>
      </w:r>
      <w:proofErr w:type="spellStart"/>
      <w:r w:rsidRPr="00C16AC0">
        <w:rPr>
          <w:rFonts w:ascii="Times New Roman" w:hAnsi="Times New Roman"/>
          <w:color w:val="000000"/>
          <w:sz w:val="28"/>
          <w:szCs w:val="28"/>
        </w:rPr>
        <w:t>проспективную</w:t>
      </w:r>
      <w:proofErr w:type="spellEnd"/>
      <w:r w:rsidRPr="00C16AC0">
        <w:rPr>
          <w:rFonts w:ascii="Times New Roman" w:hAnsi="Times New Roman"/>
          <w:color w:val="000000"/>
          <w:sz w:val="28"/>
          <w:szCs w:val="28"/>
        </w:rPr>
        <w:t xml:space="preserve"> когорту пациентов с ранней стадией беременности были включены: 257 женщин с ревматоидным артритом или болезнью Крона, получавших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по крайней мере, в течение первого триместра (группа, получавшая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120 женщин с ревматоидным артритом или болезнью Крона, не получавших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w:t>
      </w:r>
    </w:p>
    <w:p w14:paraId="73A153B0"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Не наблюдалось существенных различий в общих показателях первичной конечной точки основных врожденных дефектов (скорректированное </w:t>
      </w:r>
      <w:r w:rsidRPr="00C16AC0">
        <w:rPr>
          <w:rFonts w:ascii="Times New Roman" w:hAnsi="Times New Roman"/>
          <w:color w:val="000000"/>
          <w:sz w:val="28"/>
          <w:szCs w:val="28"/>
        </w:rPr>
        <w:lastRenderedPageBreak/>
        <w:t>соотношение шансов 0,84, 95 % доверительного интервала (ДИ) 0,34, 2,05) так же как и вторичных конечных точек, которые включали мелкие врожденные дефекты, спонтанный аборт, преждевременные роды, низкий вес при рождении и серьезные или оппортунистические инфекции. Не сообщалось о случаях мертворождения или злокачественных новообразований.</w:t>
      </w:r>
    </w:p>
    <w:p w14:paraId="0F1484AC"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Хотя в регистре имеются методологические ограничения, включая небольшой размер выборки и </w:t>
      </w:r>
      <w:proofErr w:type="spellStart"/>
      <w:r w:rsidRPr="00C16AC0">
        <w:rPr>
          <w:rFonts w:ascii="Times New Roman" w:hAnsi="Times New Roman"/>
          <w:color w:val="000000"/>
          <w:sz w:val="28"/>
          <w:szCs w:val="28"/>
        </w:rPr>
        <w:t>нерандомизированность</w:t>
      </w:r>
      <w:proofErr w:type="spellEnd"/>
      <w:r w:rsidRPr="00C16AC0">
        <w:rPr>
          <w:rFonts w:ascii="Times New Roman" w:hAnsi="Times New Roman"/>
          <w:color w:val="000000"/>
          <w:sz w:val="28"/>
          <w:szCs w:val="28"/>
        </w:rPr>
        <w:t xml:space="preserve"> исследования, данные не показывают повышенного риска неблагоприятных исходов беременности у женщин с ревматоидным артритом или болезнью Крона, получавших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по сравнению с женщинами с ревматоидным артритом или болезнью Крона, не получавшими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Кроме того, данные </w:t>
      </w:r>
      <w:proofErr w:type="spellStart"/>
      <w:r w:rsidRPr="00C16AC0">
        <w:rPr>
          <w:rFonts w:ascii="Times New Roman" w:hAnsi="Times New Roman"/>
          <w:color w:val="000000"/>
          <w:sz w:val="28"/>
          <w:szCs w:val="28"/>
        </w:rPr>
        <w:t>постмаркетингового</w:t>
      </w:r>
      <w:proofErr w:type="spellEnd"/>
      <w:r w:rsidRPr="00C16AC0">
        <w:rPr>
          <w:rFonts w:ascii="Times New Roman" w:hAnsi="Times New Roman"/>
          <w:color w:val="000000"/>
          <w:sz w:val="28"/>
          <w:szCs w:val="28"/>
        </w:rPr>
        <w:t xml:space="preserve"> наблюдения не определяют наличие риска, связанного с применением данного лекарственного средства.</w:t>
      </w:r>
    </w:p>
    <w:p w14:paraId="2132662B" w14:textId="77777777" w:rsidR="00161092" w:rsidRPr="00C16AC0" w:rsidRDefault="00161092" w:rsidP="00161092">
      <w:pPr>
        <w:spacing w:after="0" w:line="240" w:lineRule="auto"/>
        <w:jc w:val="both"/>
        <w:rPr>
          <w:rFonts w:ascii="Times New Roman" w:hAnsi="Times New Roman"/>
          <w:iCs/>
          <w:color w:val="000000"/>
          <w:sz w:val="28"/>
          <w:szCs w:val="28"/>
        </w:rPr>
      </w:pPr>
      <w:r w:rsidRPr="00C16AC0">
        <w:rPr>
          <w:rFonts w:ascii="Times New Roman" w:hAnsi="Times New Roman"/>
          <w:iCs/>
          <w:color w:val="000000"/>
          <w:sz w:val="28"/>
          <w:szCs w:val="28"/>
        </w:rPr>
        <w:t xml:space="preserve">Адалимумаб может проникать через плаценту в сыворотку крови новорожденных детей, от женщин, которые получали </w:t>
      </w:r>
      <w:proofErr w:type="spellStart"/>
      <w:r w:rsidRPr="00C16AC0">
        <w:rPr>
          <w:rFonts w:ascii="Times New Roman" w:hAnsi="Times New Roman"/>
          <w:iCs/>
          <w:color w:val="000000"/>
          <w:sz w:val="28"/>
          <w:szCs w:val="28"/>
        </w:rPr>
        <w:t>адалимумаб</w:t>
      </w:r>
      <w:proofErr w:type="spellEnd"/>
      <w:r w:rsidRPr="00C16AC0">
        <w:rPr>
          <w:rFonts w:ascii="Times New Roman" w:hAnsi="Times New Roman"/>
          <w:iCs/>
          <w:color w:val="000000"/>
          <w:sz w:val="28"/>
          <w:szCs w:val="28"/>
        </w:rPr>
        <w:t xml:space="preserve"> во время беременности. Так что у этих детей может быть повышен риск инфицирования. Применение живых вакцин младенцам, подвергавшихся воздействию адалимумаба внутриутробно, не рекомендуется в течение 5 месяцев после последней инъекции адалимумаба у матери во время беременности.</w:t>
      </w:r>
    </w:p>
    <w:p w14:paraId="2586557E"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i/>
          <w:color w:val="000000"/>
          <w:sz w:val="28"/>
          <w:szCs w:val="28"/>
        </w:rPr>
        <w:t>Роды</w:t>
      </w:r>
    </w:p>
    <w:p w14:paraId="2D8A7C65"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Данные о влиянии препарата СинноРА на роды отсутствуют.</w:t>
      </w:r>
    </w:p>
    <w:p w14:paraId="34D2FC51"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i/>
          <w:color w:val="000000"/>
          <w:sz w:val="28"/>
          <w:szCs w:val="28"/>
        </w:rPr>
        <w:t>Период грудного вскармливания</w:t>
      </w:r>
    </w:p>
    <w:p w14:paraId="1D269029"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Ограниченные опубликованные данные указывают на то, что </w:t>
      </w:r>
      <w:proofErr w:type="spellStart"/>
      <w:r w:rsidRPr="00C16AC0">
        <w:rPr>
          <w:rFonts w:ascii="Times New Roman" w:hAnsi="Times New Roman"/>
          <w:color w:val="000000"/>
          <w:sz w:val="28"/>
          <w:szCs w:val="28"/>
        </w:rPr>
        <w:t>адалимумаб</w:t>
      </w:r>
      <w:proofErr w:type="spellEnd"/>
      <w:r w:rsidRPr="00C16AC0">
        <w:rPr>
          <w:rFonts w:ascii="Times New Roman" w:hAnsi="Times New Roman"/>
          <w:color w:val="000000"/>
          <w:sz w:val="28"/>
          <w:szCs w:val="28"/>
        </w:rPr>
        <w:t xml:space="preserve"> </w:t>
      </w:r>
      <w:proofErr w:type="spellStart"/>
      <w:r w:rsidRPr="00C16AC0">
        <w:rPr>
          <w:rFonts w:ascii="Times New Roman" w:hAnsi="Times New Roman"/>
          <w:color w:val="000000"/>
          <w:sz w:val="28"/>
          <w:szCs w:val="28"/>
        </w:rPr>
        <w:t>экскретируется</w:t>
      </w:r>
      <w:proofErr w:type="spellEnd"/>
      <w:r w:rsidRPr="00C16AC0">
        <w:rPr>
          <w:rFonts w:ascii="Times New Roman" w:hAnsi="Times New Roman"/>
          <w:color w:val="000000"/>
          <w:sz w:val="28"/>
          <w:szCs w:val="28"/>
        </w:rPr>
        <w:t xml:space="preserve"> в грудное молоко в очень низких концентрациях (с присутствием адалимумаба в материнском молоке в концентрациях от 0,1 до 1 % от уровня материнской сыворотки). Учитывая, что принятые перорально белки иммуноглобулина G подвергаются протеолизу в кишечнике и имеют плохую биодоступность, системные эффекты, связанные с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у грудного ребенка маловероятны. Применять </w:t>
      </w:r>
      <w:proofErr w:type="spellStart"/>
      <w:r w:rsidRPr="00C16AC0">
        <w:rPr>
          <w:rFonts w:ascii="Times New Roman" w:hAnsi="Times New Roman"/>
          <w:color w:val="000000"/>
          <w:sz w:val="28"/>
          <w:szCs w:val="28"/>
        </w:rPr>
        <w:t>адалимумаб</w:t>
      </w:r>
      <w:proofErr w:type="spellEnd"/>
      <w:r w:rsidRPr="00C16AC0">
        <w:rPr>
          <w:rFonts w:ascii="Times New Roman" w:hAnsi="Times New Roman"/>
          <w:color w:val="000000"/>
          <w:sz w:val="28"/>
          <w:szCs w:val="28"/>
        </w:rPr>
        <w:t xml:space="preserve"> следует только в том случае, когда предполагаемая польза для матери превосходит потенциальный риск для ребенка.</w:t>
      </w:r>
    </w:p>
    <w:p w14:paraId="6B753B7A"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bCs/>
          <w:i/>
          <w:color w:val="000000"/>
          <w:sz w:val="28"/>
          <w:szCs w:val="28"/>
        </w:rPr>
        <w:t>Особенности влияния препарата на способность управлять транспортным средством и другими потенциально опасными механизмами</w:t>
      </w:r>
    </w:p>
    <w:p w14:paraId="0B779536"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iCs/>
          <w:color w:val="000000"/>
          <w:sz w:val="28"/>
          <w:szCs w:val="28"/>
        </w:rPr>
        <w:t>Препарат СинноРА может оказывать незначительное влияние на способность управлять транспортными средствами и другими механизмами, т.к. на фоне применения препарата могут наблюдаться головокружение и нарушение зрения.</w:t>
      </w:r>
    </w:p>
    <w:p w14:paraId="05A3DCA9"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7A550107"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Рекомендации по применению</w:t>
      </w:r>
    </w:p>
    <w:p w14:paraId="2A156E3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 xml:space="preserve">Режим дозирования </w:t>
      </w:r>
    </w:p>
    <w:p w14:paraId="13330E61"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lastRenderedPageBreak/>
        <w:t xml:space="preserve">Ревматоидный артрит, </w:t>
      </w:r>
      <w:proofErr w:type="spellStart"/>
      <w:r w:rsidRPr="00C16AC0">
        <w:rPr>
          <w:rFonts w:ascii="Times New Roman" w:eastAsia="Times New Roman" w:hAnsi="Times New Roman"/>
          <w:bCs/>
          <w:i/>
          <w:iCs/>
          <w:sz w:val="28"/>
          <w:szCs w:val="28"/>
          <w:lang w:eastAsia="ru-RU"/>
        </w:rPr>
        <w:t>псориатический</w:t>
      </w:r>
      <w:proofErr w:type="spellEnd"/>
      <w:r w:rsidRPr="00C16AC0">
        <w:rPr>
          <w:rFonts w:ascii="Times New Roman" w:eastAsia="Times New Roman" w:hAnsi="Times New Roman"/>
          <w:bCs/>
          <w:i/>
          <w:iCs/>
          <w:sz w:val="28"/>
          <w:szCs w:val="28"/>
          <w:lang w:eastAsia="ru-RU"/>
        </w:rPr>
        <w:t xml:space="preserve"> артрит и </w:t>
      </w:r>
      <w:r w:rsidRPr="00C16AC0">
        <w:rPr>
          <w:rFonts w:ascii="Times New Roman" w:eastAsia="Times New Roman" w:hAnsi="Times New Roman"/>
          <w:bCs/>
          <w:i/>
          <w:sz w:val="28"/>
          <w:szCs w:val="28"/>
          <w:lang w:eastAsia="ru-RU"/>
        </w:rPr>
        <w:t>аксиальный спондилоартрит (</w:t>
      </w:r>
      <w:proofErr w:type="spellStart"/>
      <w:r w:rsidRPr="00C16AC0">
        <w:rPr>
          <w:rFonts w:ascii="Times New Roman" w:eastAsia="Times New Roman" w:hAnsi="Times New Roman"/>
          <w:bCs/>
          <w:i/>
          <w:iCs/>
          <w:sz w:val="28"/>
          <w:szCs w:val="28"/>
          <w:lang w:eastAsia="ru-RU"/>
        </w:rPr>
        <w:t>анкилозирующий</w:t>
      </w:r>
      <w:proofErr w:type="spellEnd"/>
      <w:r w:rsidRPr="00C16AC0">
        <w:rPr>
          <w:rFonts w:ascii="Times New Roman" w:eastAsia="Times New Roman" w:hAnsi="Times New Roman"/>
          <w:bCs/>
          <w:i/>
          <w:iCs/>
          <w:sz w:val="28"/>
          <w:szCs w:val="28"/>
          <w:lang w:eastAsia="ru-RU"/>
        </w:rPr>
        <w:t xml:space="preserve"> спондилит и </w:t>
      </w:r>
      <w:proofErr w:type="spellStart"/>
      <w:r w:rsidRPr="00C16AC0">
        <w:rPr>
          <w:rFonts w:ascii="Times New Roman" w:eastAsia="Times New Roman" w:hAnsi="Times New Roman"/>
          <w:bCs/>
          <w:i/>
          <w:iCs/>
          <w:sz w:val="28"/>
          <w:szCs w:val="28"/>
          <w:lang w:eastAsia="ru-RU"/>
        </w:rPr>
        <w:t>н</w:t>
      </w:r>
      <w:r w:rsidRPr="00C16AC0">
        <w:rPr>
          <w:rFonts w:ascii="Times New Roman" w:eastAsia="Times New Roman" w:hAnsi="Times New Roman"/>
          <w:bCs/>
          <w:i/>
          <w:sz w:val="28"/>
          <w:szCs w:val="28"/>
          <w:lang w:eastAsia="ru-RU"/>
        </w:rPr>
        <w:t>ерентгенографический</w:t>
      </w:r>
      <w:proofErr w:type="spellEnd"/>
      <w:r w:rsidRPr="00C16AC0">
        <w:rPr>
          <w:rFonts w:ascii="Times New Roman" w:eastAsia="Times New Roman" w:hAnsi="Times New Roman"/>
          <w:bCs/>
          <w:i/>
          <w:sz w:val="28"/>
          <w:szCs w:val="28"/>
          <w:lang w:eastAsia="ru-RU"/>
        </w:rPr>
        <w:t xml:space="preserve"> аксиальный спондилоартрит</w:t>
      </w:r>
      <w:r w:rsidRPr="00C16AC0">
        <w:rPr>
          <w:rFonts w:ascii="Times New Roman" w:eastAsia="Times New Roman" w:hAnsi="Times New Roman"/>
          <w:bCs/>
          <w:i/>
          <w:iCs/>
          <w:sz w:val="28"/>
          <w:szCs w:val="28"/>
          <w:lang w:eastAsia="ru-RU"/>
        </w:rPr>
        <w:t xml:space="preserve">) </w:t>
      </w:r>
    </w:p>
    <w:p w14:paraId="28BB482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Рекомендованная доза для взрослых составляет 40 мг один раз в две недели, подкожно. Во время терапии препаратом СинноРА можно продолжать применять метотрексат, глюкокортикоиды, салицилаты, нестероидные противовоспалительные препараты (НПВП), анальгетики или другие противоревматические препараты, которые модифицируют заболевание (DMARD).</w:t>
      </w:r>
    </w:p>
    <w:p w14:paraId="33CBBA63"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У некоторых больных с РА, которые не применяют метотрексат, может быть оправданным увеличение частоты введения препарата до 40 мг один раз в неделю, подкожно.</w:t>
      </w:r>
    </w:p>
    <w:p w14:paraId="29BA46FA"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t>Болезнь Крона</w:t>
      </w:r>
    </w:p>
    <w:p w14:paraId="6A41A495"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Для индукции ремиссии рекомендованная начальная доза составляет 80 мг (день 1), с последующим уменьшением дозы до 40 мг через две недели (день 15), подкожно. Если необходимо получить более быстрый клинический ответ первоначально применяют 160 мг в день 1 (вводится как четыре инъекции по 40 мг за один день или как две инъекции по 40 мг в течение двух дней подряд), после чего через две недели (день 15) применяют дозу 80 мг, подкожно.</w:t>
      </w:r>
    </w:p>
    <w:p w14:paraId="7353D812"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Через две недели (день 29) начинают поддерживающее лечение в дозе 40 мг один раз в две недели, подкожно. Во время терапии препаратом СинноРА можно продолжать применять </w:t>
      </w:r>
      <w:proofErr w:type="spellStart"/>
      <w:r w:rsidRPr="00C16AC0">
        <w:rPr>
          <w:rFonts w:ascii="Times New Roman" w:eastAsia="Times New Roman" w:hAnsi="Times New Roman"/>
          <w:bCs/>
          <w:sz w:val="28"/>
          <w:szCs w:val="28"/>
          <w:lang w:eastAsia="ru-RU"/>
        </w:rPr>
        <w:t>аминосалицилаты</w:t>
      </w:r>
      <w:proofErr w:type="spellEnd"/>
      <w:r w:rsidRPr="00C16AC0">
        <w:rPr>
          <w:rFonts w:ascii="Times New Roman" w:eastAsia="Times New Roman" w:hAnsi="Times New Roman"/>
          <w:bCs/>
          <w:sz w:val="28"/>
          <w:szCs w:val="28"/>
          <w:lang w:eastAsia="ru-RU"/>
        </w:rPr>
        <w:t xml:space="preserve">, кортикостероиды и/или </w:t>
      </w:r>
      <w:proofErr w:type="spellStart"/>
      <w:r w:rsidRPr="00C16AC0">
        <w:rPr>
          <w:rFonts w:ascii="Times New Roman" w:eastAsia="Times New Roman" w:hAnsi="Times New Roman"/>
          <w:bCs/>
          <w:sz w:val="28"/>
          <w:szCs w:val="28"/>
          <w:lang w:eastAsia="ru-RU"/>
        </w:rPr>
        <w:t>иммуносупрессанты</w:t>
      </w:r>
      <w:proofErr w:type="spellEnd"/>
      <w:r w:rsidRPr="00C16AC0">
        <w:rPr>
          <w:rFonts w:ascii="Times New Roman" w:eastAsia="Times New Roman" w:hAnsi="Times New Roman"/>
          <w:bCs/>
          <w:sz w:val="28"/>
          <w:szCs w:val="28"/>
          <w:lang w:eastAsia="ru-RU"/>
        </w:rPr>
        <w:t xml:space="preserve"> (например, 6-меркаптопурин и </w:t>
      </w:r>
      <w:proofErr w:type="spellStart"/>
      <w:r w:rsidRPr="00C16AC0">
        <w:rPr>
          <w:rFonts w:ascii="Times New Roman" w:eastAsia="Times New Roman" w:hAnsi="Times New Roman"/>
          <w:bCs/>
          <w:sz w:val="28"/>
          <w:szCs w:val="28"/>
          <w:lang w:eastAsia="ru-RU"/>
        </w:rPr>
        <w:t>азатиоприн</w:t>
      </w:r>
      <w:proofErr w:type="spellEnd"/>
      <w:r w:rsidRPr="00C16AC0">
        <w:rPr>
          <w:rFonts w:ascii="Times New Roman" w:eastAsia="Times New Roman" w:hAnsi="Times New Roman"/>
          <w:bCs/>
          <w:sz w:val="28"/>
          <w:szCs w:val="28"/>
          <w:lang w:eastAsia="ru-RU"/>
        </w:rPr>
        <w:t>).</w:t>
      </w:r>
    </w:p>
    <w:p w14:paraId="7295129D"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При уменьшении клинического ответа некоторые пациенты могут нуждаться в увеличении частоты введения препарата до 40 мг один раз в неделю, подкожно.</w:t>
      </w:r>
    </w:p>
    <w:p w14:paraId="5BF7F669"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Некоторым пациентам, у которых не достигнут клинический ответ после 4 недель лечения, следует продолжать поддерживающую терапию до 12 недель. Следует тщательно пересмотреть необходимость продолжения терапии у пациентов, у которых в пределах этого срока не наблюдается клинический ответ.</w:t>
      </w:r>
    </w:p>
    <w:p w14:paraId="52B51134"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В течение поддерживающей терапии доза кортикостероидов может быть уменьшена, исходя из клинической практики.</w:t>
      </w:r>
    </w:p>
    <w:p w14:paraId="0761E9C9"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t>Язвенный колит</w:t>
      </w:r>
    </w:p>
    <w:p w14:paraId="52527B1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Рекомендованная начальная доза для взрослых пациентов с язвенным колитом средней и тяжелой степени активности составляет 160 мг на неделе 0 (доза может быть введена в виде 4 инъекций в один день или по 2 инъекции в день в течение двух дней подряд) и 80 мг через две недели (неделя 2). После начальной терапии рекомендованная доза составляет 40 мг один раз в две недели,</w:t>
      </w:r>
      <w:r w:rsidRPr="00C16AC0" w:rsidDel="001E7BAD">
        <w:rPr>
          <w:rFonts w:ascii="Times New Roman" w:eastAsia="Times New Roman" w:hAnsi="Times New Roman"/>
          <w:bCs/>
          <w:sz w:val="28"/>
          <w:szCs w:val="28"/>
          <w:lang w:eastAsia="ru-RU"/>
        </w:rPr>
        <w:t xml:space="preserve"> </w:t>
      </w:r>
      <w:r w:rsidRPr="00C16AC0">
        <w:rPr>
          <w:rFonts w:ascii="Times New Roman" w:eastAsia="Times New Roman" w:hAnsi="Times New Roman"/>
          <w:bCs/>
          <w:sz w:val="28"/>
          <w:szCs w:val="28"/>
          <w:lang w:eastAsia="ru-RU"/>
        </w:rPr>
        <w:t xml:space="preserve">подкожно. Во время терапии препаратом СинноРА можно продолжать применять </w:t>
      </w:r>
      <w:proofErr w:type="spellStart"/>
      <w:r w:rsidRPr="00C16AC0">
        <w:rPr>
          <w:rFonts w:ascii="Times New Roman" w:eastAsia="Times New Roman" w:hAnsi="Times New Roman"/>
          <w:bCs/>
          <w:sz w:val="28"/>
          <w:szCs w:val="28"/>
          <w:lang w:eastAsia="ru-RU"/>
        </w:rPr>
        <w:t>аминосалицилаты</w:t>
      </w:r>
      <w:proofErr w:type="spellEnd"/>
      <w:r w:rsidRPr="00C16AC0">
        <w:rPr>
          <w:rFonts w:ascii="Times New Roman" w:eastAsia="Times New Roman" w:hAnsi="Times New Roman"/>
          <w:bCs/>
          <w:sz w:val="28"/>
          <w:szCs w:val="28"/>
          <w:lang w:eastAsia="ru-RU"/>
        </w:rPr>
        <w:t xml:space="preserve">, кортикостероиды и/или </w:t>
      </w:r>
      <w:proofErr w:type="spellStart"/>
      <w:r w:rsidRPr="00C16AC0">
        <w:rPr>
          <w:rFonts w:ascii="Times New Roman" w:eastAsia="Times New Roman" w:hAnsi="Times New Roman"/>
          <w:bCs/>
          <w:sz w:val="28"/>
          <w:szCs w:val="28"/>
          <w:lang w:eastAsia="ru-RU"/>
        </w:rPr>
        <w:t>иммуносупрессанты</w:t>
      </w:r>
      <w:proofErr w:type="spellEnd"/>
      <w:r w:rsidRPr="00C16AC0">
        <w:rPr>
          <w:rFonts w:ascii="Times New Roman" w:eastAsia="Times New Roman" w:hAnsi="Times New Roman"/>
          <w:bCs/>
          <w:sz w:val="28"/>
          <w:szCs w:val="28"/>
          <w:lang w:eastAsia="ru-RU"/>
        </w:rPr>
        <w:t xml:space="preserve"> (например, 6-меркаптопурин и </w:t>
      </w:r>
      <w:proofErr w:type="spellStart"/>
      <w:r w:rsidRPr="00C16AC0">
        <w:rPr>
          <w:rFonts w:ascii="Times New Roman" w:eastAsia="Times New Roman" w:hAnsi="Times New Roman"/>
          <w:bCs/>
          <w:sz w:val="28"/>
          <w:szCs w:val="28"/>
          <w:lang w:eastAsia="ru-RU"/>
        </w:rPr>
        <w:t>азатиоприн</w:t>
      </w:r>
      <w:proofErr w:type="spellEnd"/>
      <w:r w:rsidRPr="00C16AC0">
        <w:rPr>
          <w:rFonts w:ascii="Times New Roman" w:eastAsia="Times New Roman" w:hAnsi="Times New Roman"/>
          <w:bCs/>
          <w:sz w:val="28"/>
          <w:szCs w:val="28"/>
          <w:lang w:eastAsia="ru-RU"/>
        </w:rPr>
        <w:t>).</w:t>
      </w:r>
    </w:p>
    <w:p w14:paraId="41490E9A"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lastRenderedPageBreak/>
        <w:t>В течение поддерживающей терапии доза кортикостероидов может быть уменьшена, исходя из клинической практики.</w:t>
      </w:r>
    </w:p>
    <w:p w14:paraId="2AC1FD5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При уменьшении клинического ответа некоторые пациенты могут нуждаться в увеличении частоты введения препарата до 40 мг один раз в неделю.</w:t>
      </w:r>
    </w:p>
    <w:p w14:paraId="6F20D2D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Клинический ответ может быть достигнут в течение 2–8 недель лечения. Терапию препаратом СинноРА можно продолжать только у тех пациентов, которые достигли клинического ответа в течение первых 8 недель лечения.</w:t>
      </w:r>
    </w:p>
    <w:p w14:paraId="59445818" w14:textId="77777777" w:rsidR="00161092" w:rsidRPr="00C16AC0" w:rsidRDefault="00161092" w:rsidP="00161092">
      <w:pPr>
        <w:spacing w:after="0" w:line="240" w:lineRule="auto"/>
        <w:jc w:val="both"/>
        <w:rPr>
          <w:rFonts w:ascii="Times New Roman" w:eastAsia="Times New Roman" w:hAnsi="Times New Roman"/>
          <w:b/>
          <w:bCs/>
          <w:i/>
          <w:iCs/>
          <w:sz w:val="28"/>
          <w:szCs w:val="28"/>
          <w:lang w:eastAsia="ru-RU"/>
        </w:rPr>
      </w:pPr>
      <w:r w:rsidRPr="00C16AC0">
        <w:rPr>
          <w:rFonts w:ascii="Times New Roman" w:eastAsia="Times New Roman" w:hAnsi="Times New Roman"/>
          <w:bCs/>
          <w:i/>
          <w:iCs/>
          <w:sz w:val="28"/>
          <w:szCs w:val="28"/>
          <w:lang w:eastAsia="ru-RU"/>
        </w:rPr>
        <w:t>Бляшечный псориаз</w:t>
      </w:r>
    </w:p>
    <w:p w14:paraId="2DF4652A"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Рекомендованная начальная доза для взрослых составляет 80 мг, через одну неделю применяют 40 мг, подкожно. Поддерживающая терапия – 40 мг один раз в две недели, подкожно.</w:t>
      </w:r>
    </w:p>
    <w:p w14:paraId="13D9CAEF"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Если через 16 недель терапии у пациента не наблюдается адекватный ответ на терапию, то частота применения препарата может быть увеличена (40 мг один раз в неделю</w:t>
      </w:r>
      <w:r w:rsidR="00736B44" w:rsidRPr="00C16AC0">
        <w:t xml:space="preserve"> </w:t>
      </w:r>
      <w:r w:rsidR="00736B44" w:rsidRPr="00C16AC0">
        <w:rPr>
          <w:rFonts w:ascii="Times New Roman" w:eastAsia="Times New Roman" w:hAnsi="Times New Roman"/>
          <w:bCs/>
          <w:sz w:val="28"/>
          <w:szCs w:val="28"/>
          <w:lang w:eastAsia="ru-RU"/>
        </w:rPr>
        <w:t>или 80 мг один раз в две недели</w:t>
      </w:r>
      <w:r w:rsidRPr="00C16AC0">
        <w:rPr>
          <w:rFonts w:ascii="Times New Roman" w:eastAsia="Times New Roman" w:hAnsi="Times New Roman"/>
          <w:bCs/>
          <w:sz w:val="28"/>
          <w:szCs w:val="28"/>
          <w:lang w:eastAsia="ru-RU"/>
        </w:rPr>
        <w:t xml:space="preserve">). В течение данного периода следует проводить оценку пользы применения и риска возникновения нежелательных явлений. Если адекватный ответ достигнут при частоте применения препарата один раз в неделю, то далее можно вернуться к обычной поддерживающей дозе (40 мг один раз в две недели). </w:t>
      </w:r>
    </w:p>
    <w:p w14:paraId="254B0206" w14:textId="77777777" w:rsidR="00161092" w:rsidRPr="00C16AC0" w:rsidRDefault="00161092" w:rsidP="00161092">
      <w:pPr>
        <w:spacing w:after="0" w:line="240" w:lineRule="auto"/>
        <w:jc w:val="both"/>
        <w:rPr>
          <w:rFonts w:ascii="Times New Roman" w:eastAsia="Times New Roman" w:hAnsi="Times New Roman"/>
          <w:b/>
          <w:bCs/>
          <w:i/>
          <w:sz w:val="28"/>
          <w:szCs w:val="28"/>
          <w:lang w:eastAsia="ru-RU"/>
        </w:rPr>
      </w:pPr>
      <w:r w:rsidRPr="00C16AC0">
        <w:rPr>
          <w:rFonts w:ascii="Times New Roman" w:eastAsia="Times New Roman" w:hAnsi="Times New Roman"/>
          <w:b/>
          <w:bCs/>
          <w:i/>
          <w:sz w:val="28"/>
          <w:szCs w:val="28"/>
          <w:lang w:eastAsia="ru-RU"/>
        </w:rPr>
        <w:t>В педиатрии</w:t>
      </w:r>
    </w:p>
    <w:p w14:paraId="499979CB" w14:textId="77777777" w:rsidR="00161092" w:rsidRPr="00C16AC0" w:rsidRDefault="00161092" w:rsidP="00161092">
      <w:pPr>
        <w:spacing w:after="0" w:line="240" w:lineRule="auto"/>
        <w:jc w:val="both"/>
        <w:rPr>
          <w:rFonts w:ascii="Times New Roman" w:eastAsia="Times New Roman" w:hAnsi="Times New Roman"/>
          <w:bCs/>
          <w:i/>
          <w:sz w:val="28"/>
          <w:szCs w:val="28"/>
          <w:u w:val="single"/>
          <w:lang w:eastAsia="ru-RU"/>
        </w:rPr>
      </w:pPr>
      <w:r w:rsidRPr="00C16AC0">
        <w:rPr>
          <w:rFonts w:ascii="Times New Roman" w:eastAsia="Times New Roman" w:hAnsi="Times New Roman"/>
          <w:bCs/>
          <w:i/>
          <w:sz w:val="28"/>
          <w:szCs w:val="28"/>
          <w:u w:val="single"/>
          <w:lang w:eastAsia="ru-RU"/>
        </w:rPr>
        <w:t>Ювенильный ревматоидный артрит (ЮРА)</w:t>
      </w:r>
    </w:p>
    <w:p w14:paraId="1FE243E1" w14:textId="77777777" w:rsidR="00161092" w:rsidRPr="00C16AC0" w:rsidRDefault="00161092" w:rsidP="00161092">
      <w:pPr>
        <w:spacing w:after="0" w:line="240" w:lineRule="auto"/>
        <w:jc w:val="both"/>
        <w:rPr>
          <w:rFonts w:ascii="Times New Roman" w:eastAsia="Times New Roman" w:hAnsi="Times New Roman"/>
          <w:bCs/>
          <w:i/>
          <w:sz w:val="28"/>
          <w:szCs w:val="28"/>
          <w:lang w:eastAsia="ru-RU"/>
        </w:rPr>
      </w:pPr>
      <w:r w:rsidRPr="00C16AC0">
        <w:rPr>
          <w:rFonts w:ascii="Times New Roman" w:eastAsia="Times New Roman" w:hAnsi="Times New Roman"/>
          <w:bCs/>
          <w:i/>
          <w:sz w:val="28"/>
          <w:szCs w:val="28"/>
          <w:lang w:eastAsia="ru-RU"/>
        </w:rPr>
        <w:t>Полиартикулярный ювенильный идиопатический артрит</w:t>
      </w:r>
    </w:p>
    <w:p w14:paraId="4652CE21"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Рекомендуемая доза препарата СинноРА для детей от 2 лет и старше с </w:t>
      </w:r>
      <w:proofErr w:type="spellStart"/>
      <w:r w:rsidRPr="00C16AC0">
        <w:rPr>
          <w:rFonts w:ascii="Times New Roman" w:eastAsia="Times New Roman" w:hAnsi="Times New Roman"/>
          <w:bCs/>
          <w:sz w:val="28"/>
          <w:szCs w:val="28"/>
          <w:lang w:eastAsia="ru-RU"/>
        </w:rPr>
        <w:t>полиартикулярным</w:t>
      </w:r>
      <w:proofErr w:type="spellEnd"/>
      <w:r w:rsidRPr="00C16AC0">
        <w:rPr>
          <w:rFonts w:ascii="Times New Roman" w:eastAsia="Times New Roman" w:hAnsi="Times New Roman"/>
          <w:bCs/>
          <w:sz w:val="28"/>
          <w:szCs w:val="28"/>
          <w:lang w:eastAsia="ru-RU"/>
        </w:rPr>
        <w:t xml:space="preserve"> ювенильным идиопатическим артритом (ЮИА) определяется исходя из массы тела пациента (таблица 1). Применение метотрексата, глюкокортикоидов, НПВП и (или) обезболивающих средств допустимо на фоне терапии препаратом СинноРА. Препарат СинноРА может быть доступен в других дозировках и (или) формах выпуска.</w:t>
      </w:r>
    </w:p>
    <w:p w14:paraId="71BA9516"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1DF669AD"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Таблица 1. Определение дозы препарата СинноРА для пациентов с </w:t>
      </w:r>
      <w:proofErr w:type="spellStart"/>
      <w:r w:rsidRPr="00C16AC0">
        <w:rPr>
          <w:rFonts w:ascii="Times New Roman" w:eastAsia="Times New Roman" w:hAnsi="Times New Roman"/>
          <w:b/>
          <w:bCs/>
          <w:sz w:val="28"/>
          <w:szCs w:val="28"/>
          <w:lang w:eastAsia="ru-RU"/>
        </w:rPr>
        <w:t>полиартикулярным</w:t>
      </w:r>
      <w:proofErr w:type="spellEnd"/>
      <w:r w:rsidRPr="00C16AC0">
        <w:rPr>
          <w:rFonts w:ascii="Times New Roman" w:eastAsia="Times New Roman" w:hAnsi="Times New Roman"/>
          <w:b/>
          <w:bCs/>
          <w:sz w:val="28"/>
          <w:szCs w:val="28"/>
          <w:lang w:eastAsia="ru-RU"/>
        </w:rPr>
        <w:t xml:space="preserve"> ювенильным идиопатическим артритом</w:t>
      </w:r>
    </w:p>
    <w:tbl>
      <w:tblPr>
        <w:tblW w:w="9160" w:type="dxa"/>
        <w:jc w:val="center"/>
        <w:tblLook w:val="0000" w:firstRow="0" w:lastRow="0" w:firstColumn="0" w:lastColumn="0" w:noHBand="0" w:noVBand="0"/>
      </w:tblPr>
      <w:tblGrid>
        <w:gridCol w:w="4415"/>
        <w:gridCol w:w="4745"/>
      </w:tblGrid>
      <w:tr w:rsidR="00161092" w:rsidRPr="00C16AC0" w14:paraId="2E7FB40C" w14:textId="77777777" w:rsidTr="00C027AA">
        <w:trPr>
          <w:trHeight w:val="362"/>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1140CEEB"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Масса тела пациента</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E4EC24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Схема лечения</w:t>
            </w:r>
          </w:p>
        </w:tc>
      </w:tr>
      <w:tr w:rsidR="00161092" w:rsidRPr="00C16AC0" w14:paraId="3A0D74C3" w14:textId="77777777" w:rsidTr="00C027AA">
        <w:trPr>
          <w:trHeight w:val="340"/>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742B083F"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От 10 до &lt; 30 кг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1E85B90"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20 мг один раз в две недели</w:t>
            </w:r>
          </w:p>
        </w:tc>
      </w:tr>
      <w:tr w:rsidR="00161092" w:rsidRPr="00C16AC0" w14:paraId="0BF90EA8" w14:textId="77777777" w:rsidTr="00C027AA">
        <w:trPr>
          <w:trHeight w:val="287"/>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31452153"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30 кг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41C47BE"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40 мг один раз в две недели</w:t>
            </w:r>
          </w:p>
        </w:tc>
      </w:tr>
    </w:tbl>
    <w:p w14:paraId="6CB3F335"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Применение препарата СинноРА у детей в возрасте до 2 лет с </w:t>
      </w:r>
      <w:proofErr w:type="spellStart"/>
      <w:r w:rsidRPr="00C16AC0">
        <w:rPr>
          <w:rFonts w:ascii="Times New Roman" w:eastAsia="Times New Roman" w:hAnsi="Times New Roman"/>
          <w:bCs/>
          <w:sz w:val="28"/>
          <w:szCs w:val="28"/>
          <w:lang w:eastAsia="ru-RU"/>
        </w:rPr>
        <w:t>полиартикулярным</w:t>
      </w:r>
      <w:proofErr w:type="spellEnd"/>
      <w:r w:rsidRPr="00C16AC0">
        <w:rPr>
          <w:rFonts w:ascii="Times New Roman" w:eastAsia="Times New Roman" w:hAnsi="Times New Roman"/>
          <w:bCs/>
          <w:sz w:val="28"/>
          <w:szCs w:val="28"/>
          <w:lang w:eastAsia="ru-RU"/>
        </w:rPr>
        <w:t xml:space="preserve"> ЮИА и с массой тела менее 10 кг не изучалось.</w:t>
      </w:r>
    </w:p>
    <w:p w14:paraId="4E86309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Согласно имеющимся данным, клинический ответ обычно достигается в течение 12 недель лечения. Решение о прекращении терапии может быть принято в случае, если не отмечается терапевтический эффект в течение указанного периода.</w:t>
      </w:r>
    </w:p>
    <w:p w14:paraId="0D02DFE9"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Применение препарата СинноРА у детей в возрасте до 2 лет по данному показанию не изучалось.</w:t>
      </w:r>
    </w:p>
    <w:p w14:paraId="425492F6"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
          <w:bCs/>
          <w:i/>
          <w:sz w:val="28"/>
          <w:szCs w:val="28"/>
          <w:lang w:eastAsia="ru-RU"/>
        </w:rPr>
        <w:t>Энтезит-ассоциированный артрит</w:t>
      </w:r>
      <w:r w:rsidRPr="00C16AC0" w:rsidDel="008811AB">
        <w:rPr>
          <w:rFonts w:ascii="Times New Roman" w:eastAsia="Times New Roman" w:hAnsi="Times New Roman"/>
          <w:bCs/>
          <w:sz w:val="28"/>
          <w:szCs w:val="28"/>
          <w:lang w:eastAsia="ru-RU"/>
        </w:rPr>
        <w:t xml:space="preserve"> </w:t>
      </w:r>
    </w:p>
    <w:p w14:paraId="4196AC6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lastRenderedPageBreak/>
        <w:t xml:space="preserve">Рекомендуемая доза препарата СинноРА для пациентов от 6 лет и старше с </w:t>
      </w:r>
      <w:proofErr w:type="spellStart"/>
      <w:r w:rsidRPr="00C16AC0">
        <w:rPr>
          <w:rFonts w:ascii="Times New Roman" w:eastAsia="Times New Roman" w:hAnsi="Times New Roman"/>
          <w:bCs/>
          <w:sz w:val="28"/>
          <w:szCs w:val="28"/>
          <w:lang w:eastAsia="ru-RU"/>
        </w:rPr>
        <w:t>энтезит</w:t>
      </w:r>
      <w:proofErr w:type="spellEnd"/>
      <w:r w:rsidRPr="00C16AC0">
        <w:rPr>
          <w:rFonts w:ascii="Times New Roman" w:eastAsia="Times New Roman" w:hAnsi="Times New Roman"/>
          <w:bCs/>
          <w:sz w:val="28"/>
          <w:szCs w:val="28"/>
          <w:lang w:eastAsia="ru-RU"/>
        </w:rPr>
        <w:t>-ассоциированным артритом определяется исходя из массы тела пациента (таблица 2). Препарат СинноРА может быть доступен в других дозировках и (или) формах выпуска.</w:t>
      </w:r>
    </w:p>
    <w:p w14:paraId="4C5FC3E1"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10EA62E3"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Таблица 2. Определение дозы препарата СинноРА для пациентов с </w:t>
      </w:r>
      <w:proofErr w:type="spellStart"/>
      <w:r w:rsidRPr="00C16AC0">
        <w:rPr>
          <w:rFonts w:ascii="Times New Roman" w:eastAsia="Times New Roman" w:hAnsi="Times New Roman"/>
          <w:b/>
          <w:bCs/>
          <w:sz w:val="28"/>
          <w:szCs w:val="28"/>
          <w:lang w:eastAsia="ru-RU"/>
        </w:rPr>
        <w:t>энтезит</w:t>
      </w:r>
      <w:proofErr w:type="spellEnd"/>
      <w:r w:rsidRPr="00C16AC0">
        <w:rPr>
          <w:rFonts w:ascii="Times New Roman" w:eastAsia="Times New Roman" w:hAnsi="Times New Roman"/>
          <w:b/>
          <w:bCs/>
          <w:sz w:val="28"/>
          <w:szCs w:val="28"/>
          <w:lang w:eastAsia="ru-RU"/>
        </w:rPr>
        <w:t xml:space="preserve">-ассоциированным артритом </w:t>
      </w:r>
    </w:p>
    <w:tbl>
      <w:tblPr>
        <w:tblW w:w="9127" w:type="dxa"/>
        <w:jc w:val="center"/>
        <w:tblLook w:val="0000" w:firstRow="0" w:lastRow="0" w:firstColumn="0" w:lastColumn="0" w:noHBand="0" w:noVBand="0"/>
      </w:tblPr>
      <w:tblGrid>
        <w:gridCol w:w="4796"/>
        <w:gridCol w:w="4331"/>
      </w:tblGrid>
      <w:tr w:rsidR="00161092" w:rsidRPr="00C16AC0" w14:paraId="73C91714" w14:textId="77777777" w:rsidTr="00C027AA">
        <w:trPr>
          <w:trHeight w:val="401"/>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14:paraId="0AE05145"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Масса тела пациента</w:t>
            </w:r>
          </w:p>
        </w:tc>
        <w:tc>
          <w:tcPr>
            <w:tcW w:w="4331" w:type="dxa"/>
            <w:tcBorders>
              <w:top w:val="single" w:sz="4" w:space="0" w:color="auto"/>
              <w:left w:val="single" w:sz="4" w:space="0" w:color="auto"/>
              <w:bottom w:val="single" w:sz="4" w:space="0" w:color="auto"/>
              <w:right w:val="single" w:sz="4" w:space="0" w:color="auto"/>
            </w:tcBorders>
            <w:shd w:val="clear" w:color="auto" w:fill="auto"/>
          </w:tcPr>
          <w:p w14:paraId="5A9A7D63"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Схема лечения</w:t>
            </w:r>
          </w:p>
        </w:tc>
      </w:tr>
      <w:tr w:rsidR="00161092" w:rsidRPr="00C16AC0" w14:paraId="026D52D6" w14:textId="77777777" w:rsidTr="00C027AA">
        <w:trPr>
          <w:trHeight w:val="385"/>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14:paraId="04874B7C"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от 15 до &lt; 30 кг</w:t>
            </w:r>
          </w:p>
        </w:tc>
        <w:tc>
          <w:tcPr>
            <w:tcW w:w="4331" w:type="dxa"/>
            <w:tcBorders>
              <w:top w:val="single" w:sz="4" w:space="0" w:color="auto"/>
              <w:left w:val="single" w:sz="4" w:space="0" w:color="auto"/>
              <w:bottom w:val="single" w:sz="4" w:space="0" w:color="auto"/>
              <w:right w:val="single" w:sz="4" w:space="0" w:color="auto"/>
            </w:tcBorders>
            <w:shd w:val="clear" w:color="auto" w:fill="auto"/>
          </w:tcPr>
          <w:p w14:paraId="5567993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20 мг один раз в две недели</w:t>
            </w:r>
          </w:p>
        </w:tc>
      </w:tr>
      <w:tr w:rsidR="00161092" w:rsidRPr="00C16AC0" w14:paraId="61677F2E" w14:textId="77777777" w:rsidTr="00C027AA">
        <w:trPr>
          <w:trHeight w:val="264"/>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14:paraId="370F814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30 кг</w:t>
            </w:r>
          </w:p>
        </w:tc>
        <w:tc>
          <w:tcPr>
            <w:tcW w:w="4331" w:type="dxa"/>
            <w:tcBorders>
              <w:top w:val="single" w:sz="4" w:space="0" w:color="auto"/>
              <w:left w:val="single" w:sz="4" w:space="0" w:color="auto"/>
              <w:bottom w:val="single" w:sz="4" w:space="0" w:color="auto"/>
              <w:right w:val="single" w:sz="4" w:space="0" w:color="auto"/>
            </w:tcBorders>
            <w:shd w:val="clear" w:color="auto" w:fill="auto"/>
          </w:tcPr>
          <w:p w14:paraId="68DF8112"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40 мг один раз в две недели</w:t>
            </w:r>
          </w:p>
        </w:tc>
      </w:tr>
    </w:tbl>
    <w:p w14:paraId="5A86FA46"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Применение препарата СинноРА у детей в возрасте до </w:t>
      </w:r>
      <w:r w:rsidR="00334E72" w:rsidRPr="00C16AC0">
        <w:rPr>
          <w:rFonts w:ascii="Times New Roman" w:eastAsia="Times New Roman" w:hAnsi="Times New Roman"/>
          <w:bCs/>
          <w:sz w:val="28"/>
          <w:szCs w:val="28"/>
          <w:lang w:eastAsia="ru-RU"/>
        </w:rPr>
        <w:t>6</w:t>
      </w:r>
      <w:r w:rsidRPr="00C16AC0">
        <w:rPr>
          <w:rFonts w:ascii="Times New Roman" w:eastAsia="Times New Roman" w:hAnsi="Times New Roman"/>
          <w:bCs/>
          <w:sz w:val="28"/>
          <w:szCs w:val="28"/>
          <w:lang w:eastAsia="ru-RU"/>
        </w:rPr>
        <w:t xml:space="preserve"> лет с </w:t>
      </w:r>
      <w:proofErr w:type="spellStart"/>
      <w:r w:rsidRPr="00C16AC0">
        <w:rPr>
          <w:rFonts w:ascii="Times New Roman" w:eastAsia="Times New Roman" w:hAnsi="Times New Roman"/>
          <w:bCs/>
          <w:sz w:val="28"/>
          <w:szCs w:val="28"/>
          <w:lang w:eastAsia="ru-RU"/>
        </w:rPr>
        <w:t>энтезит</w:t>
      </w:r>
      <w:proofErr w:type="spellEnd"/>
      <w:r w:rsidRPr="00C16AC0">
        <w:rPr>
          <w:rFonts w:ascii="Times New Roman" w:eastAsia="Times New Roman" w:hAnsi="Times New Roman"/>
          <w:bCs/>
          <w:sz w:val="28"/>
          <w:szCs w:val="28"/>
          <w:lang w:eastAsia="ru-RU"/>
        </w:rPr>
        <w:t>-ассоциированным артритом не изучалось.</w:t>
      </w:r>
    </w:p>
    <w:p w14:paraId="073C4539"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t>Болезнь Крона</w:t>
      </w:r>
    </w:p>
    <w:p w14:paraId="2E383D8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Рекомендуемая доза препарата СинноРА для пациентов в возрасте от 6 до 17 лет с болезнью Крона определяется исходя из массы тела пациента (таблица 3). Препарат СинноРА вводят подкожно. </w:t>
      </w:r>
      <w:bookmarkStart w:id="13" w:name="_Hlk52961129"/>
      <w:r w:rsidRPr="00C16AC0">
        <w:rPr>
          <w:rFonts w:ascii="Times New Roman" w:eastAsia="Times New Roman" w:hAnsi="Times New Roman"/>
          <w:bCs/>
          <w:sz w:val="28"/>
          <w:szCs w:val="28"/>
          <w:lang w:eastAsia="ru-RU"/>
        </w:rPr>
        <w:t>Препарат СинноРА может быть доступен в других дозировках и (или) формах выпуска.</w:t>
      </w:r>
    </w:p>
    <w:bookmarkEnd w:id="13"/>
    <w:p w14:paraId="3E9C2E4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08A7CD95"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Таблица 3. Определение дозы препарата СинноРА для пациентов детского возраста с болезнью Крона</w:t>
      </w: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3553"/>
        <w:gridCol w:w="3628"/>
      </w:tblGrid>
      <w:tr w:rsidR="00161092" w:rsidRPr="00C16AC0" w14:paraId="0FF2CF63" w14:textId="77777777" w:rsidTr="00C027AA">
        <w:trPr>
          <w:trHeight w:val="749"/>
          <w:tblHeader/>
        </w:trPr>
        <w:tc>
          <w:tcPr>
            <w:tcW w:w="1049" w:type="pct"/>
            <w:tcBorders>
              <w:top w:val="single" w:sz="6" w:space="0" w:color="000000"/>
              <w:left w:val="single" w:sz="6" w:space="0" w:color="000000"/>
              <w:bottom w:val="single" w:sz="6" w:space="0" w:color="000000"/>
              <w:right w:val="single" w:sz="6" w:space="0" w:color="000000"/>
            </w:tcBorders>
            <w:hideMark/>
          </w:tcPr>
          <w:p w14:paraId="28868FAB"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Масса тела пациента</w:t>
            </w:r>
          </w:p>
        </w:tc>
        <w:tc>
          <w:tcPr>
            <w:tcW w:w="1955" w:type="pct"/>
            <w:tcBorders>
              <w:top w:val="single" w:sz="6" w:space="0" w:color="000000"/>
              <w:left w:val="single" w:sz="6" w:space="0" w:color="000000"/>
              <w:bottom w:val="single" w:sz="6" w:space="0" w:color="000000"/>
              <w:right w:val="single" w:sz="6" w:space="0" w:color="000000"/>
            </w:tcBorders>
            <w:hideMark/>
          </w:tcPr>
          <w:p w14:paraId="4D4251FC"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Начальная доза</w:t>
            </w:r>
          </w:p>
        </w:tc>
        <w:tc>
          <w:tcPr>
            <w:tcW w:w="1996" w:type="pct"/>
            <w:tcBorders>
              <w:top w:val="single" w:sz="6" w:space="0" w:color="000000"/>
              <w:left w:val="single" w:sz="6" w:space="0" w:color="000000"/>
              <w:bottom w:val="single" w:sz="6" w:space="0" w:color="000000"/>
              <w:right w:val="single" w:sz="6" w:space="0" w:color="000000"/>
            </w:tcBorders>
            <w:hideMark/>
          </w:tcPr>
          <w:p w14:paraId="0450199A"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Поддерживающая доза </w:t>
            </w:r>
            <w:r w:rsidRPr="00C16AC0">
              <w:rPr>
                <w:rFonts w:ascii="Times New Roman" w:eastAsia="Times New Roman" w:hAnsi="Times New Roman"/>
                <w:b/>
                <w:bCs/>
                <w:sz w:val="28"/>
                <w:szCs w:val="28"/>
                <w:lang w:eastAsia="ru-RU"/>
              </w:rPr>
              <w:br/>
              <w:t xml:space="preserve"> с недели 4</w:t>
            </w:r>
          </w:p>
        </w:tc>
      </w:tr>
      <w:tr w:rsidR="00161092" w:rsidRPr="00C16AC0" w14:paraId="713E4528" w14:textId="77777777" w:rsidTr="00C027AA">
        <w:trPr>
          <w:trHeight w:val="675"/>
          <w:tblHeader/>
        </w:trPr>
        <w:tc>
          <w:tcPr>
            <w:tcW w:w="1049" w:type="pct"/>
            <w:tcBorders>
              <w:top w:val="single" w:sz="6" w:space="0" w:color="000000"/>
              <w:left w:val="single" w:sz="6" w:space="0" w:color="000000"/>
              <w:bottom w:val="single" w:sz="6" w:space="0" w:color="000000"/>
              <w:right w:val="single" w:sz="6" w:space="0" w:color="000000"/>
            </w:tcBorders>
            <w:hideMark/>
          </w:tcPr>
          <w:p w14:paraId="710AC368"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&lt; 40 кг</w:t>
            </w:r>
          </w:p>
        </w:tc>
        <w:tc>
          <w:tcPr>
            <w:tcW w:w="1955" w:type="pct"/>
            <w:tcBorders>
              <w:top w:val="single" w:sz="6" w:space="0" w:color="000000"/>
              <w:left w:val="single" w:sz="6" w:space="0" w:color="000000"/>
              <w:bottom w:val="single" w:sz="6" w:space="0" w:color="000000"/>
              <w:right w:val="single" w:sz="6" w:space="0" w:color="000000"/>
            </w:tcBorders>
            <w:hideMark/>
          </w:tcPr>
          <w:p w14:paraId="44F760B2"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80 мг на неделе 0 и</w:t>
            </w:r>
          </w:p>
          <w:p w14:paraId="6145668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40 мг на неделе 2</w:t>
            </w:r>
          </w:p>
        </w:tc>
        <w:tc>
          <w:tcPr>
            <w:tcW w:w="1996" w:type="pct"/>
            <w:tcBorders>
              <w:top w:val="single" w:sz="6" w:space="0" w:color="000000"/>
              <w:left w:val="single" w:sz="6" w:space="0" w:color="000000"/>
              <w:bottom w:val="single" w:sz="6" w:space="0" w:color="000000"/>
              <w:right w:val="single" w:sz="6" w:space="0" w:color="000000"/>
            </w:tcBorders>
            <w:hideMark/>
          </w:tcPr>
          <w:p w14:paraId="3E7A3489"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20 мг один раз в две недели</w:t>
            </w:r>
          </w:p>
        </w:tc>
      </w:tr>
      <w:tr w:rsidR="00161092" w:rsidRPr="00C16AC0" w14:paraId="1709CEE2" w14:textId="77777777" w:rsidTr="00C027AA">
        <w:trPr>
          <w:trHeight w:val="657"/>
          <w:tblHeader/>
        </w:trPr>
        <w:tc>
          <w:tcPr>
            <w:tcW w:w="1049" w:type="pct"/>
            <w:tcBorders>
              <w:top w:val="single" w:sz="6" w:space="0" w:color="000000"/>
              <w:left w:val="single" w:sz="6" w:space="0" w:color="000000"/>
              <w:bottom w:val="single" w:sz="6" w:space="0" w:color="000000"/>
              <w:right w:val="single" w:sz="6" w:space="0" w:color="000000"/>
            </w:tcBorders>
            <w:hideMark/>
          </w:tcPr>
          <w:p w14:paraId="7CF0041E"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40 кг</w:t>
            </w:r>
          </w:p>
        </w:tc>
        <w:tc>
          <w:tcPr>
            <w:tcW w:w="1955" w:type="pct"/>
            <w:tcBorders>
              <w:top w:val="single" w:sz="6" w:space="0" w:color="000000"/>
              <w:left w:val="single" w:sz="6" w:space="0" w:color="000000"/>
              <w:bottom w:val="single" w:sz="6" w:space="0" w:color="000000"/>
              <w:right w:val="single" w:sz="6" w:space="0" w:color="000000"/>
            </w:tcBorders>
            <w:hideMark/>
          </w:tcPr>
          <w:p w14:paraId="1EDAE504"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160 мг на неделе 0 и</w:t>
            </w:r>
          </w:p>
          <w:p w14:paraId="4E909681"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80 мг на неделе 2</w:t>
            </w:r>
          </w:p>
        </w:tc>
        <w:tc>
          <w:tcPr>
            <w:tcW w:w="1996" w:type="pct"/>
            <w:tcBorders>
              <w:top w:val="single" w:sz="6" w:space="0" w:color="000000"/>
              <w:left w:val="single" w:sz="6" w:space="0" w:color="000000"/>
              <w:bottom w:val="single" w:sz="6" w:space="0" w:color="000000"/>
              <w:right w:val="single" w:sz="6" w:space="0" w:color="000000"/>
            </w:tcBorders>
            <w:hideMark/>
          </w:tcPr>
          <w:p w14:paraId="1BEABAB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40 мг один раз в две недели</w:t>
            </w:r>
          </w:p>
        </w:tc>
      </w:tr>
    </w:tbl>
    <w:p w14:paraId="6E5263C1"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При уменьшении клинического ответа некоторые пациенты могут нуждаться в увеличении частоты введения препарата до одного раза в неделю.</w:t>
      </w:r>
    </w:p>
    <w:p w14:paraId="69C9D10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Следует пересмотреть необходимость продолжения терапии у пациентов, у которых в течение 12 недель не наблюдается клинический ответ.</w:t>
      </w:r>
    </w:p>
    <w:p w14:paraId="7E650BB9"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Применение препарата СинноРА у детей с болезнью Крона младше 6 лет не исследовалось.</w:t>
      </w:r>
    </w:p>
    <w:p w14:paraId="057FC706" w14:textId="77777777" w:rsidR="00161092" w:rsidRPr="00C16AC0" w:rsidRDefault="00161092" w:rsidP="00161092">
      <w:pPr>
        <w:spacing w:after="0" w:line="240" w:lineRule="auto"/>
        <w:jc w:val="both"/>
        <w:rPr>
          <w:rFonts w:ascii="Times New Roman" w:eastAsia="Times New Roman" w:hAnsi="Times New Roman"/>
          <w:bCs/>
          <w:i/>
          <w:sz w:val="28"/>
          <w:szCs w:val="28"/>
          <w:lang w:eastAsia="ru-RU"/>
        </w:rPr>
      </w:pPr>
      <w:r w:rsidRPr="00C16AC0">
        <w:rPr>
          <w:rFonts w:ascii="Times New Roman" w:eastAsia="Times New Roman" w:hAnsi="Times New Roman"/>
          <w:bCs/>
          <w:i/>
          <w:sz w:val="28"/>
          <w:szCs w:val="28"/>
          <w:lang w:eastAsia="ru-RU"/>
        </w:rPr>
        <w:t>Бляшечный псориаз у детей</w:t>
      </w:r>
    </w:p>
    <w:p w14:paraId="1202ECC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Рекомендуемая доза препарата СинноРА для детей и подростков с </w:t>
      </w:r>
      <w:proofErr w:type="spellStart"/>
      <w:r w:rsidRPr="00C16AC0">
        <w:rPr>
          <w:rFonts w:ascii="Times New Roman" w:eastAsia="Times New Roman" w:hAnsi="Times New Roman"/>
          <w:bCs/>
          <w:sz w:val="28"/>
          <w:szCs w:val="28"/>
          <w:lang w:eastAsia="ru-RU"/>
        </w:rPr>
        <w:t>бляшечным</w:t>
      </w:r>
      <w:proofErr w:type="spellEnd"/>
      <w:r w:rsidRPr="00C16AC0">
        <w:rPr>
          <w:rFonts w:ascii="Times New Roman" w:eastAsia="Times New Roman" w:hAnsi="Times New Roman"/>
          <w:bCs/>
          <w:sz w:val="28"/>
          <w:szCs w:val="28"/>
          <w:lang w:eastAsia="ru-RU"/>
        </w:rPr>
        <w:t xml:space="preserve"> псориазом в возрасте от 4 до 17 лет определяется исходя из массы тела пациента (таблица 4). Препарат СинноРА вводят подкожно. Препарат СинноРА может быть доступен в других дозировках и (или) формах выпуска.</w:t>
      </w:r>
    </w:p>
    <w:p w14:paraId="154144BD"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03F6C8FA"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Таблица 4. Определение дозы препарата СинноРА для пациентов детского возраста с </w:t>
      </w:r>
      <w:proofErr w:type="spellStart"/>
      <w:r w:rsidRPr="00C16AC0">
        <w:rPr>
          <w:rFonts w:ascii="Times New Roman" w:eastAsia="Times New Roman" w:hAnsi="Times New Roman"/>
          <w:b/>
          <w:bCs/>
          <w:sz w:val="28"/>
          <w:szCs w:val="28"/>
          <w:lang w:eastAsia="ru-RU"/>
        </w:rPr>
        <w:t>бляшечным</w:t>
      </w:r>
      <w:proofErr w:type="spellEnd"/>
      <w:r w:rsidRPr="00C16AC0">
        <w:rPr>
          <w:rFonts w:ascii="Times New Roman" w:eastAsia="Times New Roman" w:hAnsi="Times New Roman"/>
          <w:b/>
          <w:bCs/>
          <w:sz w:val="28"/>
          <w:szCs w:val="28"/>
          <w:lang w:eastAsia="ru-RU"/>
        </w:rPr>
        <w:t xml:space="preserve"> псориазом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4709"/>
      </w:tblGrid>
      <w:tr w:rsidR="00161092" w:rsidRPr="00C16AC0" w14:paraId="47493E6E" w14:textId="77777777" w:rsidTr="00C027AA">
        <w:trPr>
          <w:trHeight w:val="369"/>
          <w:tblHeader/>
          <w:jc w:val="center"/>
        </w:trPr>
        <w:tc>
          <w:tcPr>
            <w:tcW w:w="4451" w:type="dxa"/>
            <w:shd w:val="clear" w:color="auto" w:fill="auto"/>
          </w:tcPr>
          <w:p w14:paraId="2D88C8C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lastRenderedPageBreak/>
              <w:t>Масса тела пациента</w:t>
            </w:r>
          </w:p>
        </w:tc>
        <w:tc>
          <w:tcPr>
            <w:tcW w:w="4709" w:type="dxa"/>
            <w:shd w:val="clear" w:color="auto" w:fill="auto"/>
          </w:tcPr>
          <w:p w14:paraId="738B6FB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Схема лечения</w:t>
            </w:r>
          </w:p>
        </w:tc>
      </w:tr>
      <w:tr w:rsidR="00161092" w:rsidRPr="00C16AC0" w14:paraId="2CF01807" w14:textId="77777777" w:rsidTr="00C027AA">
        <w:trPr>
          <w:trHeight w:val="983"/>
          <w:tblHeader/>
          <w:jc w:val="center"/>
        </w:trPr>
        <w:tc>
          <w:tcPr>
            <w:tcW w:w="4451" w:type="dxa"/>
            <w:shd w:val="clear" w:color="auto" w:fill="auto"/>
          </w:tcPr>
          <w:p w14:paraId="5FECED7B"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от 15 до &lt; 30 кг</w:t>
            </w:r>
          </w:p>
        </w:tc>
        <w:tc>
          <w:tcPr>
            <w:tcW w:w="4709" w:type="dxa"/>
            <w:shd w:val="clear" w:color="auto" w:fill="auto"/>
          </w:tcPr>
          <w:p w14:paraId="1F5F7AA0"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Начальная доза 20 мг, затем 20 мг один раз в две недели, начиная через неделю после начальной дозы</w:t>
            </w:r>
          </w:p>
        </w:tc>
      </w:tr>
      <w:tr w:rsidR="00161092" w:rsidRPr="00C16AC0" w14:paraId="4DA9ABB6" w14:textId="77777777" w:rsidTr="00C027AA">
        <w:trPr>
          <w:trHeight w:val="981"/>
          <w:tblHeader/>
          <w:jc w:val="center"/>
        </w:trPr>
        <w:tc>
          <w:tcPr>
            <w:tcW w:w="4451" w:type="dxa"/>
            <w:shd w:val="clear" w:color="auto" w:fill="auto"/>
          </w:tcPr>
          <w:p w14:paraId="11D69E76"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30 кг</w:t>
            </w:r>
          </w:p>
        </w:tc>
        <w:tc>
          <w:tcPr>
            <w:tcW w:w="4709" w:type="dxa"/>
            <w:shd w:val="clear" w:color="auto" w:fill="auto"/>
          </w:tcPr>
          <w:p w14:paraId="7189C72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Начальная доза 40 мг, затем 40 мг один раз в две недели, начиная через неделю после начальной дозы</w:t>
            </w:r>
          </w:p>
        </w:tc>
      </w:tr>
    </w:tbl>
    <w:p w14:paraId="012D33DF"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Решение о прекращении терапии может быть принято в случае, если не отмечается терапевтический эффект в течение 16 недель.</w:t>
      </w:r>
    </w:p>
    <w:p w14:paraId="3E2BA1D1"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Если пациенту назначена повторная терапия препаратом СинноРА, необходимо соблюдать приведенные выше указания по подбору дозы и продолжительности лечения. </w:t>
      </w:r>
    </w:p>
    <w:p w14:paraId="2AEBA46C"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Применение препарата СинноРА у детей в возрасте до 4 лет по данному показанию не изучалось.</w:t>
      </w:r>
    </w:p>
    <w:p w14:paraId="2D0F8BD7" w14:textId="77777777" w:rsidR="00161092" w:rsidRPr="00C16AC0" w:rsidRDefault="00161092" w:rsidP="00161092">
      <w:pPr>
        <w:spacing w:after="0" w:line="240" w:lineRule="auto"/>
        <w:jc w:val="both"/>
        <w:rPr>
          <w:rFonts w:ascii="Times New Roman" w:eastAsia="Times New Roman" w:hAnsi="Times New Roman"/>
          <w:bCs/>
          <w:i/>
          <w:iCs/>
          <w:sz w:val="28"/>
          <w:szCs w:val="28"/>
          <w:u w:val="single"/>
          <w:lang w:eastAsia="ru-RU"/>
        </w:rPr>
      </w:pPr>
      <w:bookmarkStart w:id="14" w:name="_Hlk52961244"/>
      <w:r w:rsidRPr="00C16AC0">
        <w:rPr>
          <w:rFonts w:ascii="Times New Roman" w:eastAsia="Times New Roman" w:hAnsi="Times New Roman"/>
          <w:bCs/>
          <w:i/>
          <w:iCs/>
          <w:sz w:val="28"/>
          <w:szCs w:val="28"/>
          <w:u w:val="single"/>
          <w:lang w:eastAsia="ru-RU"/>
        </w:rPr>
        <w:t>Лица пожилого возраста</w:t>
      </w:r>
    </w:p>
    <w:p w14:paraId="48749152" w14:textId="77777777" w:rsidR="006C5867" w:rsidRPr="00C16AC0" w:rsidRDefault="006C5867"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Препарат СинноРА применялся у пациентов старше 65 лет и старше 75 лет. Разницы в эффективности в этих двух группах не наблюдалось. Коррекция дозы для данной группы пациентов не требуется.</w:t>
      </w:r>
    </w:p>
    <w:bookmarkEnd w:id="14"/>
    <w:p w14:paraId="3AF7C4F1" w14:textId="77777777" w:rsidR="00161092" w:rsidRPr="00C16AC0" w:rsidRDefault="00161092" w:rsidP="00161092">
      <w:pPr>
        <w:spacing w:after="0" w:line="240" w:lineRule="auto"/>
        <w:jc w:val="both"/>
        <w:rPr>
          <w:rFonts w:ascii="Times New Roman" w:eastAsia="Times New Roman" w:hAnsi="Times New Roman"/>
          <w:bCs/>
          <w:i/>
          <w:iCs/>
          <w:sz w:val="28"/>
          <w:szCs w:val="28"/>
          <w:u w:val="single"/>
          <w:lang w:eastAsia="ru-RU"/>
        </w:rPr>
      </w:pPr>
      <w:r w:rsidRPr="00C16AC0">
        <w:rPr>
          <w:rFonts w:ascii="Times New Roman" w:eastAsia="Times New Roman" w:hAnsi="Times New Roman"/>
          <w:bCs/>
          <w:i/>
          <w:iCs/>
          <w:sz w:val="28"/>
          <w:szCs w:val="28"/>
          <w:u w:val="single"/>
          <w:lang w:eastAsia="ru-RU"/>
        </w:rPr>
        <w:t>Подготовка препарата для введения</w:t>
      </w:r>
    </w:p>
    <w:p w14:paraId="4E4B1656"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Препарат СинноРА применяется под наблюдением врача. После соответствующего обучения технике подкожного введения по рекомендации врача препарат может быть введен пациентом самостоятельно или кем-то из членов семьи, другом и т.д.</w:t>
      </w:r>
    </w:p>
    <w:p w14:paraId="31A4B15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Рекомендуемые участки для самостоятельного введения — бедра и живот. Места инъекций следует постоянно менять. Не следует вводить препарат в участки с чувствительной кожей, кровоподтеками, покраснением или уплотнением кожи.</w:t>
      </w:r>
    </w:p>
    <w:p w14:paraId="1634371E"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Как и любые другие препараты для парентерального применения, раствор перед введением необходимо осмотреть на наличие посторонних частиц, изменение цвета и прозрачности.</w:t>
      </w:r>
    </w:p>
    <w:p w14:paraId="6C332B93"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Препарат СинноРА нельзя смешивать в одном шприце или флаконе с любыми другими лекарственными средствами.</w:t>
      </w:r>
    </w:p>
    <w:p w14:paraId="021B90A8"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Не использованный раствор и шприц после применения необходимо утилизировать в соответствии с действующими инструкциями.</w:t>
      </w:r>
    </w:p>
    <w:p w14:paraId="76892005" w14:textId="77777777" w:rsidR="00161092" w:rsidRPr="00C16AC0" w:rsidRDefault="00161092" w:rsidP="005322DD">
      <w:pPr>
        <w:spacing w:after="0" w:line="240" w:lineRule="auto"/>
        <w:jc w:val="both"/>
        <w:rPr>
          <w:rFonts w:ascii="Times New Roman" w:eastAsia="Times New Roman" w:hAnsi="Times New Roman"/>
          <w:b/>
          <w:bCs/>
          <w:sz w:val="28"/>
          <w:szCs w:val="28"/>
          <w:lang w:eastAsia="ru-RU"/>
        </w:rPr>
      </w:pPr>
      <w:bookmarkStart w:id="15" w:name="_Hlk52961708"/>
      <w:r w:rsidRPr="00C16AC0">
        <w:rPr>
          <w:rFonts w:ascii="Times New Roman" w:eastAsia="Times New Roman" w:hAnsi="Times New Roman"/>
          <w:bCs/>
          <w:sz w:val="28"/>
          <w:szCs w:val="28"/>
          <w:lang w:eastAsia="ru-RU"/>
        </w:rPr>
        <w:t xml:space="preserve">Пациенты или их родители должны ознакомиться с </w:t>
      </w:r>
      <w:r w:rsidR="005322DD" w:rsidRPr="00C16AC0">
        <w:rPr>
          <w:rFonts w:ascii="Times New Roman" w:eastAsia="Times New Roman" w:hAnsi="Times New Roman"/>
          <w:bCs/>
          <w:sz w:val="28"/>
          <w:szCs w:val="28"/>
          <w:lang w:eastAsia="ru-RU"/>
        </w:rPr>
        <w:t>Инструкцией по медицинскому применению лекарственного препарата (Листок-вкладыш).</w:t>
      </w:r>
    </w:p>
    <w:bookmarkEnd w:id="15"/>
    <w:p w14:paraId="059E595B" w14:textId="77777777" w:rsidR="00161092" w:rsidRPr="00C16AC0" w:rsidRDefault="00161092" w:rsidP="00161092">
      <w:pPr>
        <w:spacing w:after="0" w:line="240" w:lineRule="auto"/>
        <w:jc w:val="both"/>
        <w:rPr>
          <w:rFonts w:ascii="Times New Roman" w:hAnsi="Times New Roman"/>
          <w:b/>
          <w:i/>
          <w:sz w:val="28"/>
          <w:szCs w:val="28"/>
          <w:lang w:bidi="ru-RU"/>
        </w:rPr>
      </w:pPr>
    </w:p>
    <w:p w14:paraId="26D6B414"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Описание нежелательных реакций, которые проявляются при стандартном применении ЛП и меры, которые следует принять в этом случае</w:t>
      </w:r>
    </w:p>
    <w:p w14:paraId="15C729B3"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Краткие сведения о профиле безопасности.</w:t>
      </w:r>
    </w:p>
    <w:p w14:paraId="149787FB" w14:textId="77777777" w:rsidR="00161092" w:rsidRPr="00C16AC0" w:rsidRDefault="00161092" w:rsidP="00161092">
      <w:pPr>
        <w:spacing w:after="0" w:line="240" w:lineRule="auto"/>
        <w:jc w:val="both"/>
        <w:rPr>
          <w:rFonts w:ascii="Times New Roman" w:eastAsia="Times New Roman" w:hAnsi="Times New Roman"/>
          <w:i/>
          <w:sz w:val="28"/>
          <w:szCs w:val="28"/>
          <w:lang w:eastAsia="ru-RU"/>
        </w:rPr>
      </w:pPr>
      <w:r w:rsidRPr="00C16AC0">
        <w:rPr>
          <w:rFonts w:ascii="Times New Roman" w:eastAsia="Times New Roman" w:hAnsi="Times New Roman"/>
          <w:bCs/>
          <w:i/>
          <w:sz w:val="28"/>
          <w:szCs w:val="28"/>
          <w:lang w:eastAsia="ru-RU"/>
        </w:rPr>
        <w:t xml:space="preserve">Очень часто </w:t>
      </w:r>
      <w:r w:rsidRPr="00C16AC0">
        <w:rPr>
          <w:rFonts w:ascii="Times New Roman" w:hAnsi="Times New Roman"/>
          <w:sz w:val="28"/>
          <w:szCs w:val="28"/>
          <w:lang w:bidi="ru-RU"/>
        </w:rPr>
        <w:t>(встречаются примерно у более 10% пациентов)</w:t>
      </w:r>
    </w:p>
    <w:p w14:paraId="1448546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lastRenderedPageBreak/>
        <w:t xml:space="preserve">инфекции дыхательных путей (включая инфекции нижних и верхних отделов дыхательных путей, пневмонию, синусит, фарингит, </w:t>
      </w:r>
      <w:proofErr w:type="spellStart"/>
      <w:r w:rsidRPr="00C16AC0">
        <w:rPr>
          <w:rFonts w:ascii="Times New Roman" w:hAnsi="Times New Roman"/>
          <w:sz w:val="28"/>
          <w:szCs w:val="28"/>
        </w:rPr>
        <w:t>ринофарингит</w:t>
      </w:r>
      <w:proofErr w:type="spellEnd"/>
      <w:r w:rsidRPr="00C16AC0">
        <w:rPr>
          <w:rFonts w:ascii="Times New Roman" w:hAnsi="Times New Roman"/>
          <w:sz w:val="28"/>
          <w:szCs w:val="28"/>
        </w:rPr>
        <w:t>, пневмонию, вызванную вирусом герпеса)</w:t>
      </w:r>
    </w:p>
    <w:p w14:paraId="35DA609D" w14:textId="77777777" w:rsidR="00161092" w:rsidRPr="00C16AC0" w:rsidRDefault="00161092" w:rsidP="00161092">
      <w:pPr>
        <w:numPr>
          <w:ilvl w:val="0"/>
          <w:numId w:val="29"/>
        </w:numPr>
        <w:spacing w:after="0" w:line="240" w:lineRule="auto"/>
        <w:ind w:left="284" w:hanging="284"/>
        <w:jc w:val="both"/>
        <w:rPr>
          <w:rFonts w:ascii="Times New Roman" w:hAnsi="Times New Roman"/>
          <w:i/>
          <w:sz w:val="28"/>
          <w:szCs w:val="28"/>
        </w:rPr>
      </w:pPr>
      <w:r w:rsidRPr="00C16AC0">
        <w:rPr>
          <w:rFonts w:ascii="Times New Roman" w:hAnsi="Times New Roman"/>
          <w:sz w:val="28"/>
          <w:szCs w:val="28"/>
        </w:rPr>
        <w:t xml:space="preserve">лейкопения (включая </w:t>
      </w:r>
      <w:proofErr w:type="spellStart"/>
      <w:r w:rsidRPr="00C16AC0">
        <w:rPr>
          <w:rFonts w:ascii="Times New Roman" w:hAnsi="Times New Roman"/>
          <w:sz w:val="28"/>
          <w:szCs w:val="28"/>
        </w:rPr>
        <w:t>нейтропению</w:t>
      </w:r>
      <w:proofErr w:type="spellEnd"/>
      <w:r w:rsidRPr="00C16AC0">
        <w:rPr>
          <w:rFonts w:ascii="Times New Roman" w:hAnsi="Times New Roman"/>
          <w:sz w:val="28"/>
          <w:szCs w:val="28"/>
        </w:rPr>
        <w:t xml:space="preserve"> и агранулоцитоз), анемия, тромбоцитопения, лейкоцитоз</w:t>
      </w:r>
    </w:p>
    <w:p w14:paraId="15B92A2C"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повышение уровня липидов в крови</w:t>
      </w:r>
    </w:p>
    <w:p w14:paraId="7B93AA3B"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головная боль</w:t>
      </w:r>
    </w:p>
    <w:p w14:paraId="6AF687E0"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боль в животе, тошнота и рвота</w:t>
      </w:r>
    </w:p>
    <w:p w14:paraId="0EC792B1"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повышение уровня печеночных ферментов</w:t>
      </w:r>
    </w:p>
    <w:p w14:paraId="19533C96"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 xml:space="preserve">сыпь (включая </w:t>
      </w:r>
      <w:proofErr w:type="spellStart"/>
      <w:r w:rsidRPr="00C16AC0">
        <w:rPr>
          <w:rFonts w:ascii="Times New Roman" w:hAnsi="Times New Roman"/>
          <w:iCs/>
          <w:sz w:val="28"/>
          <w:szCs w:val="28"/>
        </w:rPr>
        <w:t>эксфолиативную</w:t>
      </w:r>
      <w:proofErr w:type="spellEnd"/>
      <w:r w:rsidRPr="00C16AC0">
        <w:rPr>
          <w:rFonts w:ascii="Times New Roman" w:hAnsi="Times New Roman"/>
          <w:iCs/>
          <w:sz w:val="28"/>
          <w:szCs w:val="28"/>
        </w:rPr>
        <w:t xml:space="preserve"> сыпь)</w:t>
      </w:r>
    </w:p>
    <w:p w14:paraId="29480762"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скелетно-мышечная боль</w:t>
      </w:r>
    </w:p>
    <w:p w14:paraId="4B4FF99E"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реакции в месте введения (включая покраснение в месте введения)</w:t>
      </w:r>
    </w:p>
    <w:p w14:paraId="5627F305"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 xml:space="preserve">Часто </w:t>
      </w:r>
      <w:r w:rsidRPr="00C16AC0">
        <w:rPr>
          <w:rFonts w:ascii="Times New Roman" w:hAnsi="Times New Roman"/>
          <w:sz w:val="28"/>
          <w:szCs w:val="28"/>
          <w:lang w:bidi="ru-RU"/>
        </w:rPr>
        <w:t>(встречаются у более 1%, но менее 10% пациентов)</w:t>
      </w:r>
    </w:p>
    <w:p w14:paraId="55A2F1BD"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системные инфекции (включая сепсис, кандидоз и грипп), кишечные инфекции (включая вирусный гастроэнтерит), инфекции кожи и мягких тканей (паронихия, целлюлит, импетиго, некротический </w:t>
      </w:r>
      <w:proofErr w:type="spellStart"/>
      <w:r w:rsidRPr="00C16AC0">
        <w:rPr>
          <w:rFonts w:ascii="Times New Roman" w:hAnsi="Times New Roman"/>
          <w:sz w:val="28"/>
          <w:szCs w:val="28"/>
        </w:rPr>
        <w:t>фасцит</w:t>
      </w:r>
      <w:proofErr w:type="spellEnd"/>
      <w:r w:rsidRPr="00C16AC0">
        <w:rPr>
          <w:rFonts w:ascii="Times New Roman" w:hAnsi="Times New Roman"/>
          <w:sz w:val="28"/>
          <w:szCs w:val="28"/>
        </w:rPr>
        <w:t xml:space="preserve">, опоясывающий герпес), инфекции уха, инфекции ротовой полости (включая герпес обычный, герпес ротовой полости и инфекции зубов), инфекции половых органов (включая грибковый </w:t>
      </w:r>
      <w:proofErr w:type="spellStart"/>
      <w:r w:rsidRPr="00C16AC0">
        <w:rPr>
          <w:rFonts w:ascii="Times New Roman" w:hAnsi="Times New Roman"/>
          <w:sz w:val="28"/>
          <w:szCs w:val="28"/>
        </w:rPr>
        <w:t>вульвовагинит</w:t>
      </w:r>
      <w:proofErr w:type="spellEnd"/>
      <w:r w:rsidRPr="00C16AC0">
        <w:rPr>
          <w:rFonts w:ascii="Times New Roman" w:hAnsi="Times New Roman"/>
          <w:sz w:val="28"/>
          <w:szCs w:val="28"/>
        </w:rPr>
        <w:t>), инфекции мочевыводящих путей (включая пиелонефрит, грибковые инфекции), инфекции суставов</w:t>
      </w:r>
    </w:p>
    <w:p w14:paraId="6720C137"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доброкачественные новообразования, рак кожи, за исключением меланомы (включая базальноклеточную карциному и плоскоклеточную карциному)</w:t>
      </w:r>
    </w:p>
    <w:p w14:paraId="6EA147D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гиперчувствительность, аллергия (включая сезонную аллергию)</w:t>
      </w:r>
    </w:p>
    <w:p w14:paraId="3C4E4D1D"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гипокалиемия</w:t>
      </w:r>
      <w:proofErr w:type="spellEnd"/>
      <w:r w:rsidRPr="00C16AC0">
        <w:rPr>
          <w:rFonts w:ascii="Times New Roman" w:hAnsi="Times New Roman"/>
          <w:sz w:val="28"/>
          <w:szCs w:val="28"/>
        </w:rPr>
        <w:t xml:space="preserve">, </w:t>
      </w:r>
      <w:proofErr w:type="spellStart"/>
      <w:r w:rsidRPr="00C16AC0">
        <w:rPr>
          <w:rFonts w:ascii="Times New Roman" w:hAnsi="Times New Roman"/>
          <w:sz w:val="28"/>
          <w:szCs w:val="28"/>
        </w:rPr>
        <w:t>гиперурикемия</w:t>
      </w:r>
      <w:proofErr w:type="spellEnd"/>
      <w:r w:rsidRPr="00C16AC0">
        <w:rPr>
          <w:rFonts w:ascii="Times New Roman" w:hAnsi="Times New Roman"/>
          <w:sz w:val="28"/>
          <w:szCs w:val="28"/>
        </w:rPr>
        <w:t xml:space="preserve">, отклонения от нормы концентрации натрия в плазме крови, </w:t>
      </w:r>
      <w:proofErr w:type="spellStart"/>
      <w:r w:rsidRPr="00C16AC0">
        <w:rPr>
          <w:rFonts w:ascii="Times New Roman" w:hAnsi="Times New Roman"/>
          <w:sz w:val="28"/>
          <w:szCs w:val="28"/>
        </w:rPr>
        <w:t>гипокальциемия</w:t>
      </w:r>
      <w:proofErr w:type="spellEnd"/>
      <w:r w:rsidRPr="00C16AC0">
        <w:rPr>
          <w:rFonts w:ascii="Times New Roman" w:hAnsi="Times New Roman"/>
          <w:sz w:val="28"/>
          <w:szCs w:val="28"/>
        </w:rPr>
        <w:t xml:space="preserve">, гипергликемия, </w:t>
      </w:r>
      <w:proofErr w:type="spellStart"/>
      <w:r w:rsidRPr="00C16AC0">
        <w:rPr>
          <w:rFonts w:ascii="Times New Roman" w:hAnsi="Times New Roman"/>
          <w:sz w:val="28"/>
          <w:szCs w:val="28"/>
        </w:rPr>
        <w:t>гипофосфатемия</w:t>
      </w:r>
      <w:proofErr w:type="spellEnd"/>
      <w:r w:rsidRPr="00C16AC0">
        <w:rPr>
          <w:rFonts w:ascii="Times New Roman" w:hAnsi="Times New Roman"/>
          <w:sz w:val="28"/>
          <w:szCs w:val="28"/>
        </w:rPr>
        <w:t>, дегидратация</w:t>
      </w:r>
    </w:p>
    <w:p w14:paraId="22F11FFD"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изменения настроения (включая депрессию), тревога, бессонница</w:t>
      </w:r>
    </w:p>
    <w:p w14:paraId="1764E73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парестезия (включая гипестезию), мигрень, сдавление нервных корешков</w:t>
      </w:r>
    </w:p>
    <w:p w14:paraId="15069BDF"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нарушение остроты зрения, конъюнктивит, блефарит, отек глаза</w:t>
      </w:r>
    </w:p>
    <w:p w14:paraId="399675A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вертиго</w:t>
      </w:r>
      <w:proofErr w:type="spellEnd"/>
    </w:p>
    <w:p w14:paraId="5C2C77FC"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тахикардия</w:t>
      </w:r>
    </w:p>
    <w:p w14:paraId="3103E31A"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артериальная гипертензия, приливы, гематома</w:t>
      </w:r>
    </w:p>
    <w:p w14:paraId="7D2C2D24"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кашель, астма, диспноэ</w:t>
      </w:r>
    </w:p>
    <w:p w14:paraId="22CCAFF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желудочно-кишечные кровотечения, диспепсия, </w:t>
      </w:r>
      <w:proofErr w:type="spellStart"/>
      <w:r w:rsidRPr="00C16AC0">
        <w:rPr>
          <w:rFonts w:ascii="Times New Roman" w:hAnsi="Times New Roman"/>
          <w:sz w:val="28"/>
          <w:szCs w:val="28"/>
        </w:rPr>
        <w:t>гастроэзофагеальный</w:t>
      </w:r>
      <w:proofErr w:type="spellEnd"/>
      <w:r w:rsidRPr="00C16AC0">
        <w:rPr>
          <w:rFonts w:ascii="Times New Roman" w:hAnsi="Times New Roman"/>
          <w:sz w:val="28"/>
          <w:szCs w:val="28"/>
        </w:rPr>
        <w:t xml:space="preserve"> рефлюкс, сухой синдром (синдром </w:t>
      </w:r>
      <w:proofErr w:type="spellStart"/>
      <w:r w:rsidRPr="00C16AC0">
        <w:rPr>
          <w:rFonts w:ascii="Times New Roman" w:hAnsi="Times New Roman"/>
          <w:sz w:val="28"/>
          <w:szCs w:val="28"/>
        </w:rPr>
        <w:t>Шегрена</w:t>
      </w:r>
      <w:proofErr w:type="spellEnd"/>
      <w:r w:rsidRPr="00C16AC0">
        <w:rPr>
          <w:rFonts w:ascii="Times New Roman" w:hAnsi="Times New Roman"/>
          <w:sz w:val="28"/>
          <w:szCs w:val="28"/>
        </w:rPr>
        <w:t>)</w:t>
      </w:r>
    </w:p>
    <w:p w14:paraId="21879A8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зуд, крапивница, экхимозы (включая пурпуру), дерматит (включая экзему), </w:t>
      </w:r>
      <w:proofErr w:type="spellStart"/>
      <w:r w:rsidRPr="00C16AC0">
        <w:rPr>
          <w:rFonts w:ascii="Times New Roman" w:hAnsi="Times New Roman"/>
          <w:sz w:val="28"/>
          <w:szCs w:val="28"/>
        </w:rPr>
        <w:t>онихоклазия</w:t>
      </w:r>
      <w:proofErr w:type="spellEnd"/>
      <w:r w:rsidRPr="00C16AC0">
        <w:rPr>
          <w:rFonts w:ascii="Times New Roman" w:hAnsi="Times New Roman"/>
          <w:sz w:val="28"/>
          <w:szCs w:val="28"/>
        </w:rPr>
        <w:t>, повышенная потливость</w:t>
      </w:r>
    </w:p>
    <w:p w14:paraId="6A401A4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мышечные спазмы (включая повышение уровня </w:t>
      </w:r>
      <w:proofErr w:type="spellStart"/>
      <w:r w:rsidRPr="00C16AC0">
        <w:rPr>
          <w:rFonts w:ascii="Times New Roman" w:hAnsi="Times New Roman"/>
          <w:sz w:val="28"/>
          <w:szCs w:val="28"/>
        </w:rPr>
        <w:t>креатинфосфокиназы</w:t>
      </w:r>
      <w:proofErr w:type="spellEnd"/>
      <w:r w:rsidRPr="00C16AC0">
        <w:rPr>
          <w:rFonts w:ascii="Times New Roman" w:hAnsi="Times New Roman"/>
          <w:sz w:val="28"/>
          <w:szCs w:val="28"/>
        </w:rPr>
        <w:t xml:space="preserve"> в плазме крови)</w:t>
      </w:r>
    </w:p>
    <w:p w14:paraId="383D5C47"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гематурия, почечная недостаточность</w:t>
      </w:r>
    </w:p>
    <w:p w14:paraId="2509F001"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боль в груди, отек, пирексия</w:t>
      </w:r>
      <w:r w:rsidRPr="00C16AC0">
        <w:rPr>
          <w:rFonts w:ascii="Times New Roman" w:hAnsi="Times New Roman"/>
          <w:sz w:val="28"/>
          <w:szCs w:val="28"/>
          <w:vertAlign w:val="superscript"/>
        </w:rPr>
        <w:t>1)</w:t>
      </w:r>
    </w:p>
    <w:p w14:paraId="0949128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lastRenderedPageBreak/>
        <w:t xml:space="preserve">нарушение системы свертывания крови (включая увеличение активированного частично </w:t>
      </w:r>
      <w:proofErr w:type="spellStart"/>
      <w:r w:rsidRPr="00C16AC0">
        <w:rPr>
          <w:rFonts w:ascii="Times New Roman" w:hAnsi="Times New Roman"/>
          <w:sz w:val="28"/>
          <w:szCs w:val="28"/>
        </w:rPr>
        <w:t>тромбопластного</w:t>
      </w:r>
      <w:proofErr w:type="spellEnd"/>
      <w:r w:rsidRPr="00C16AC0">
        <w:rPr>
          <w:rFonts w:ascii="Times New Roman" w:hAnsi="Times New Roman"/>
          <w:sz w:val="28"/>
          <w:szCs w:val="28"/>
        </w:rPr>
        <w:t xml:space="preserve"> времени (АЧТВ)), положительные тесты на </w:t>
      </w:r>
      <w:proofErr w:type="spellStart"/>
      <w:r w:rsidRPr="00C16AC0">
        <w:rPr>
          <w:rFonts w:ascii="Times New Roman" w:hAnsi="Times New Roman"/>
          <w:sz w:val="28"/>
          <w:szCs w:val="28"/>
        </w:rPr>
        <w:t>аутоантитела</w:t>
      </w:r>
      <w:proofErr w:type="spellEnd"/>
      <w:r w:rsidRPr="00C16AC0">
        <w:rPr>
          <w:rFonts w:ascii="Times New Roman" w:hAnsi="Times New Roman"/>
          <w:sz w:val="28"/>
          <w:szCs w:val="28"/>
        </w:rPr>
        <w:t xml:space="preserve"> (включая антитела к </w:t>
      </w:r>
      <w:proofErr w:type="spellStart"/>
      <w:r w:rsidRPr="00C16AC0">
        <w:rPr>
          <w:rFonts w:ascii="Times New Roman" w:hAnsi="Times New Roman"/>
          <w:sz w:val="28"/>
          <w:szCs w:val="28"/>
        </w:rPr>
        <w:t>двухцепочечной</w:t>
      </w:r>
      <w:proofErr w:type="spellEnd"/>
      <w:r w:rsidRPr="00C16AC0">
        <w:rPr>
          <w:rFonts w:ascii="Times New Roman" w:hAnsi="Times New Roman"/>
          <w:sz w:val="28"/>
          <w:szCs w:val="28"/>
        </w:rPr>
        <w:t xml:space="preserve"> ДНК), повышение уровня лактатдегидрогеназы в плазме крови</w:t>
      </w:r>
    </w:p>
    <w:p w14:paraId="5358BFC6"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медленное заживление</w:t>
      </w:r>
    </w:p>
    <w:p w14:paraId="0EC1FD01"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 xml:space="preserve">Нечасто </w:t>
      </w:r>
      <w:r w:rsidRPr="00C16AC0">
        <w:rPr>
          <w:rFonts w:ascii="Times New Roman" w:hAnsi="Times New Roman"/>
          <w:sz w:val="28"/>
          <w:szCs w:val="28"/>
          <w:lang w:bidi="ru-RU"/>
        </w:rPr>
        <w:t>(встречаются у более 0,1%, но менее 1% пациентов)</w:t>
      </w:r>
    </w:p>
    <w:p w14:paraId="4313BC52"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оппортунистические инфекции (включая </w:t>
      </w:r>
      <w:proofErr w:type="spellStart"/>
      <w:r w:rsidRPr="00C16AC0">
        <w:rPr>
          <w:rFonts w:ascii="Times New Roman" w:hAnsi="Times New Roman"/>
          <w:sz w:val="28"/>
          <w:szCs w:val="28"/>
        </w:rPr>
        <w:t>кокцидиоиодомикоз</w:t>
      </w:r>
      <w:proofErr w:type="spellEnd"/>
      <w:r w:rsidRPr="00C16AC0">
        <w:rPr>
          <w:rFonts w:ascii="Times New Roman" w:hAnsi="Times New Roman"/>
          <w:sz w:val="28"/>
          <w:szCs w:val="28"/>
        </w:rPr>
        <w:t xml:space="preserve">, </w:t>
      </w:r>
      <w:proofErr w:type="spellStart"/>
      <w:r w:rsidRPr="00C16AC0">
        <w:rPr>
          <w:rFonts w:ascii="Times New Roman" w:hAnsi="Times New Roman"/>
          <w:sz w:val="28"/>
          <w:szCs w:val="28"/>
        </w:rPr>
        <w:t>гистоплазмоз</w:t>
      </w:r>
      <w:proofErr w:type="spellEnd"/>
      <w:r w:rsidRPr="00C16AC0">
        <w:rPr>
          <w:rFonts w:ascii="Times New Roman" w:hAnsi="Times New Roman"/>
          <w:sz w:val="28"/>
          <w:szCs w:val="28"/>
        </w:rPr>
        <w:t xml:space="preserve"> и инфекции </w:t>
      </w:r>
      <w:proofErr w:type="spellStart"/>
      <w:r w:rsidRPr="00C16AC0">
        <w:rPr>
          <w:rFonts w:ascii="Times New Roman" w:hAnsi="Times New Roman"/>
          <w:i/>
          <w:sz w:val="28"/>
          <w:szCs w:val="28"/>
        </w:rPr>
        <w:t>mycobacterium</w:t>
      </w:r>
      <w:proofErr w:type="spellEnd"/>
      <w:r w:rsidRPr="00C16AC0">
        <w:rPr>
          <w:rFonts w:ascii="Times New Roman" w:hAnsi="Times New Roman"/>
          <w:i/>
          <w:sz w:val="28"/>
          <w:szCs w:val="28"/>
        </w:rPr>
        <w:t xml:space="preserve"> </w:t>
      </w:r>
      <w:proofErr w:type="spellStart"/>
      <w:r w:rsidRPr="00C16AC0">
        <w:rPr>
          <w:rFonts w:ascii="Times New Roman" w:hAnsi="Times New Roman"/>
          <w:i/>
          <w:sz w:val="28"/>
          <w:szCs w:val="28"/>
        </w:rPr>
        <w:t>avium</w:t>
      </w:r>
      <w:proofErr w:type="spellEnd"/>
      <w:r w:rsidRPr="00C16AC0">
        <w:rPr>
          <w:rFonts w:ascii="Times New Roman" w:hAnsi="Times New Roman"/>
          <w:sz w:val="28"/>
          <w:szCs w:val="28"/>
        </w:rPr>
        <w:t xml:space="preserve"> комплекса) и туберкулез, неврологические инфекции (включая вирусный менингит), инфекции глаза, бактериальные инфекции, дивертикулит</w:t>
      </w:r>
      <w:r w:rsidRPr="00C16AC0">
        <w:rPr>
          <w:rFonts w:ascii="Times New Roman" w:hAnsi="Times New Roman"/>
          <w:sz w:val="28"/>
          <w:szCs w:val="28"/>
          <w:vertAlign w:val="superscript"/>
        </w:rPr>
        <w:t>1)</w:t>
      </w:r>
    </w:p>
    <w:p w14:paraId="672C6F07"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лимфома*, новообразования паренхиматозных органов (включая рак молочной железы, опухоль легких и опухоль щитовидной железы), меланома*</w:t>
      </w:r>
    </w:p>
    <w:p w14:paraId="2EAC4632"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идиопатическая тромбоцитопеническая пурпура</w:t>
      </w:r>
    </w:p>
    <w:p w14:paraId="220DC02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lang w:bidi="ru-RU"/>
        </w:rPr>
        <w:t>с</w:t>
      </w:r>
      <w:proofErr w:type="spellStart"/>
      <w:r w:rsidRPr="00C16AC0">
        <w:rPr>
          <w:rFonts w:ascii="Times New Roman" w:hAnsi="Times New Roman"/>
          <w:sz w:val="28"/>
          <w:szCs w:val="28"/>
          <w:lang w:val="en-US" w:bidi="ru-RU"/>
        </w:rPr>
        <w:t>аркоидоз</w:t>
      </w:r>
      <w:proofErr w:type="spellEnd"/>
      <w:r w:rsidRPr="00C16AC0">
        <w:rPr>
          <w:rFonts w:ascii="Times New Roman" w:hAnsi="Times New Roman"/>
          <w:sz w:val="28"/>
          <w:szCs w:val="28"/>
          <w:vertAlign w:val="superscript"/>
          <w:lang w:bidi="ru-RU"/>
        </w:rPr>
        <w:t>1</w:t>
      </w:r>
      <w:r w:rsidRPr="00C16AC0">
        <w:rPr>
          <w:rFonts w:ascii="Times New Roman" w:hAnsi="Times New Roman"/>
          <w:sz w:val="28"/>
          <w:szCs w:val="28"/>
          <w:vertAlign w:val="superscript"/>
          <w:lang w:val="en-US" w:bidi="ru-RU"/>
        </w:rPr>
        <w:t>)</w:t>
      </w:r>
      <w:r w:rsidRPr="00C16AC0">
        <w:rPr>
          <w:rFonts w:ascii="Times New Roman" w:hAnsi="Times New Roman"/>
          <w:sz w:val="28"/>
          <w:szCs w:val="28"/>
          <w:lang w:val="en-US" w:bidi="ru-RU"/>
        </w:rPr>
        <w:t xml:space="preserve">, </w:t>
      </w:r>
      <w:proofErr w:type="spellStart"/>
      <w:r w:rsidRPr="00C16AC0">
        <w:rPr>
          <w:rFonts w:ascii="Times New Roman" w:hAnsi="Times New Roman"/>
          <w:sz w:val="28"/>
          <w:szCs w:val="28"/>
          <w:lang w:val="en-US" w:bidi="ru-RU"/>
        </w:rPr>
        <w:t>васкулит</w:t>
      </w:r>
      <w:proofErr w:type="spellEnd"/>
    </w:p>
    <w:p w14:paraId="0491B020"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lang w:bidi="ru-RU"/>
        </w:rPr>
        <w:t>нарушение мозгового кровообращения</w:t>
      </w:r>
      <w:r w:rsidRPr="00C16AC0">
        <w:rPr>
          <w:rFonts w:ascii="Times New Roman" w:hAnsi="Times New Roman"/>
          <w:sz w:val="28"/>
          <w:szCs w:val="28"/>
          <w:vertAlign w:val="superscript"/>
          <w:lang w:bidi="ru-RU"/>
        </w:rPr>
        <w:t>1</w:t>
      </w:r>
      <w:r w:rsidRPr="00C16AC0">
        <w:rPr>
          <w:rFonts w:ascii="Times New Roman" w:hAnsi="Times New Roman"/>
          <w:sz w:val="28"/>
          <w:szCs w:val="28"/>
          <w:lang w:bidi="ru-RU"/>
        </w:rPr>
        <w:t xml:space="preserve">, </w:t>
      </w:r>
      <w:r w:rsidRPr="00C16AC0">
        <w:rPr>
          <w:rFonts w:ascii="Times New Roman" w:hAnsi="Times New Roman"/>
          <w:sz w:val="28"/>
          <w:szCs w:val="28"/>
        </w:rPr>
        <w:t>тремор; нейропатия</w:t>
      </w:r>
    </w:p>
    <w:p w14:paraId="641E7D2F"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диплопия</w:t>
      </w:r>
    </w:p>
    <w:p w14:paraId="00B571CF"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глухота, звон в ушах</w:t>
      </w:r>
    </w:p>
    <w:p w14:paraId="4BDBBDB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инфаркт миокарда</w:t>
      </w:r>
      <w:r w:rsidRPr="00C16AC0">
        <w:rPr>
          <w:rFonts w:ascii="Times New Roman" w:hAnsi="Times New Roman"/>
          <w:sz w:val="28"/>
          <w:szCs w:val="28"/>
          <w:vertAlign w:val="superscript"/>
        </w:rPr>
        <w:t>1</w:t>
      </w:r>
      <w:r w:rsidRPr="00C16AC0">
        <w:rPr>
          <w:rFonts w:ascii="Times New Roman" w:hAnsi="Times New Roman"/>
          <w:sz w:val="28"/>
          <w:szCs w:val="28"/>
        </w:rPr>
        <w:t>, аритмия, хроническая сердечная недостаточность</w:t>
      </w:r>
    </w:p>
    <w:p w14:paraId="480A9D3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окклюзия артерий, тромбофлебит, аневризма аорты</w:t>
      </w:r>
    </w:p>
    <w:p w14:paraId="5A3EADC2"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эмболия легочной артерии</w:t>
      </w:r>
      <w:r w:rsidRPr="00C16AC0">
        <w:rPr>
          <w:rFonts w:ascii="Times New Roman" w:hAnsi="Times New Roman"/>
          <w:sz w:val="28"/>
          <w:szCs w:val="28"/>
          <w:vertAlign w:val="superscript"/>
        </w:rPr>
        <w:t>1</w:t>
      </w:r>
      <w:r w:rsidRPr="00C16AC0">
        <w:rPr>
          <w:rFonts w:ascii="Times New Roman" w:hAnsi="Times New Roman"/>
          <w:sz w:val="28"/>
          <w:szCs w:val="28"/>
        </w:rPr>
        <w:t>, хроническая обструктивная болезнь легких, интерстициальное заболевание легких, пневмонит, плевральный выпот</w:t>
      </w:r>
      <w:r w:rsidRPr="00C16AC0">
        <w:rPr>
          <w:rFonts w:ascii="Times New Roman" w:hAnsi="Times New Roman"/>
          <w:sz w:val="28"/>
          <w:szCs w:val="28"/>
          <w:vertAlign w:val="superscript"/>
        </w:rPr>
        <w:t>1</w:t>
      </w:r>
    </w:p>
    <w:p w14:paraId="319CD6B3"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панкреатит, дисфагия, отек лица</w:t>
      </w:r>
    </w:p>
    <w:p w14:paraId="68E5681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холецистит и </w:t>
      </w:r>
      <w:proofErr w:type="spellStart"/>
      <w:r w:rsidRPr="00C16AC0">
        <w:rPr>
          <w:rFonts w:ascii="Times New Roman" w:hAnsi="Times New Roman"/>
          <w:sz w:val="28"/>
          <w:szCs w:val="28"/>
        </w:rPr>
        <w:t>холелитиаз</w:t>
      </w:r>
      <w:proofErr w:type="spellEnd"/>
      <w:r w:rsidRPr="00C16AC0">
        <w:rPr>
          <w:rFonts w:ascii="Times New Roman" w:hAnsi="Times New Roman"/>
          <w:sz w:val="28"/>
          <w:szCs w:val="28"/>
        </w:rPr>
        <w:t xml:space="preserve">, повышение уровня билирубина, </w:t>
      </w:r>
      <w:proofErr w:type="spellStart"/>
      <w:r w:rsidRPr="00C16AC0">
        <w:rPr>
          <w:rFonts w:ascii="Times New Roman" w:hAnsi="Times New Roman"/>
          <w:sz w:val="28"/>
          <w:szCs w:val="28"/>
        </w:rPr>
        <w:t>стеатоз</w:t>
      </w:r>
      <w:proofErr w:type="spellEnd"/>
      <w:r w:rsidRPr="00C16AC0">
        <w:rPr>
          <w:rFonts w:ascii="Times New Roman" w:hAnsi="Times New Roman"/>
          <w:sz w:val="28"/>
          <w:szCs w:val="28"/>
        </w:rPr>
        <w:t xml:space="preserve"> печени</w:t>
      </w:r>
    </w:p>
    <w:p w14:paraId="43D73D1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ночная потливость, рубцы</w:t>
      </w:r>
    </w:p>
    <w:p w14:paraId="33500D3A"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рабдомиолиз</w:t>
      </w:r>
      <w:proofErr w:type="spellEnd"/>
      <w:r w:rsidRPr="00C16AC0">
        <w:rPr>
          <w:rFonts w:ascii="Times New Roman" w:hAnsi="Times New Roman"/>
          <w:sz w:val="28"/>
          <w:szCs w:val="28"/>
        </w:rPr>
        <w:t>; системная красная волчанка</w:t>
      </w:r>
    </w:p>
    <w:p w14:paraId="21182A70"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никтурия</w:t>
      </w:r>
      <w:proofErr w:type="spellEnd"/>
    </w:p>
    <w:p w14:paraId="3720BF4A"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эректильная дисфункция</w:t>
      </w:r>
    </w:p>
    <w:p w14:paraId="7E5740FC"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воспаление</w:t>
      </w:r>
    </w:p>
    <w:p w14:paraId="74651235" w14:textId="77777777" w:rsidR="00161092" w:rsidRPr="00C16AC0" w:rsidRDefault="00161092" w:rsidP="00161092">
      <w:pPr>
        <w:spacing w:after="0" w:line="240" w:lineRule="auto"/>
        <w:jc w:val="both"/>
        <w:rPr>
          <w:rFonts w:ascii="Times New Roman" w:hAnsi="Times New Roman"/>
          <w:sz w:val="28"/>
          <w:szCs w:val="28"/>
          <w:lang w:bidi="ru-RU"/>
        </w:rPr>
      </w:pPr>
      <w:r w:rsidRPr="00C16AC0">
        <w:rPr>
          <w:rFonts w:ascii="Times New Roman" w:hAnsi="Times New Roman"/>
          <w:i/>
          <w:sz w:val="28"/>
          <w:szCs w:val="28"/>
        </w:rPr>
        <w:t xml:space="preserve">Редко </w:t>
      </w:r>
      <w:r w:rsidRPr="00C16AC0">
        <w:rPr>
          <w:sz w:val="28"/>
          <w:szCs w:val="28"/>
          <w:lang w:bidi="ru-RU"/>
        </w:rPr>
        <w:t>(</w:t>
      </w:r>
      <w:r w:rsidRPr="00C16AC0">
        <w:rPr>
          <w:rFonts w:ascii="Times New Roman" w:hAnsi="Times New Roman"/>
          <w:sz w:val="28"/>
          <w:szCs w:val="28"/>
          <w:lang w:bidi="ru-RU"/>
        </w:rPr>
        <w:t>встречаются у более 0,01%, но менее 0,1% пациентов)</w:t>
      </w:r>
    </w:p>
    <w:p w14:paraId="64787576"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лейкемия</w:t>
      </w:r>
      <w:r w:rsidRPr="00C16AC0">
        <w:rPr>
          <w:rFonts w:ascii="Times New Roman" w:hAnsi="Times New Roman"/>
          <w:sz w:val="28"/>
          <w:szCs w:val="28"/>
          <w:vertAlign w:val="superscript"/>
        </w:rPr>
        <w:t>1</w:t>
      </w:r>
      <w:r w:rsidRPr="00C16AC0">
        <w:rPr>
          <w:rFonts w:ascii="Times New Roman" w:hAnsi="Times New Roman"/>
          <w:sz w:val="28"/>
          <w:szCs w:val="28"/>
        </w:rPr>
        <w:t xml:space="preserve">, </w:t>
      </w:r>
      <w:proofErr w:type="spellStart"/>
      <w:r w:rsidRPr="00C16AC0">
        <w:rPr>
          <w:rFonts w:ascii="Times New Roman" w:hAnsi="Times New Roman"/>
          <w:sz w:val="28"/>
          <w:szCs w:val="28"/>
        </w:rPr>
        <w:t>панцитопения</w:t>
      </w:r>
      <w:proofErr w:type="spellEnd"/>
    </w:p>
    <w:p w14:paraId="7C3F139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анафилаксия</w:t>
      </w:r>
      <w:r w:rsidRPr="00C16AC0">
        <w:rPr>
          <w:rFonts w:ascii="Times New Roman" w:hAnsi="Times New Roman"/>
          <w:sz w:val="28"/>
          <w:szCs w:val="28"/>
          <w:vertAlign w:val="superscript"/>
        </w:rPr>
        <w:t>1)</w:t>
      </w:r>
    </w:p>
    <w:p w14:paraId="1ADFA55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рассеянный склероз, </w:t>
      </w:r>
      <w:proofErr w:type="spellStart"/>
      <w:r w:rsidRPr="00C16AC0">
        <w:rPr>
          <w:rFonts w:ascii="Times New Roman" w:hAnsi="Times New Roman"/>
          <w:sz w:val="28"/>
          <w:szCs w:val="28"/>
        </w:rPr>
        <w:t>демиелинизирующие</w:t>
      </w:r>
      <w:proofErr w:type="spellEnd"/>
      <w:r w:rsidRPr="00C16AC0">
        <w:rPr>
          <w:rFonts w:ascii="Times New Roman" w:hAnsi="Times New Roman"/>
          <w:sz w:val="28"/>
          <w:szCs w:val="28"/>
        </w:rPr>
        <w:t xml:space="preserve"> заболевания (например, неврит зрительного нерва, синдром </w:t>
      </w:r>
      <w:proofErr w:type="spellStart"/>
      <w:r w:rsidRPr="00C16AC0">
        <w:rPr>
          <w:rFonts w:ascii="Times New Roman" w:hAnsi="Times New Roman"/>
          <w:sz w:val="28"/>
          <w:szCs w:val="28"/>
        </w:rPr>
        <w:t>Гийена</w:t>
      </w:r>
      <w:proofErr w:type="spellEnd"/>
      <w:r w:rsidRPr="00C16AC0">
        <w:rPr>
          <w:rFonts w:ascii="Times New Roman" w:hAnsi="Times New Roman"/>
          <w:sz w:val="28"/>
          <w:szCs w:val="28"/>
        </w:rPr>
        <w:t xml:space="preserve">-Барре) </w:t>
      </w:r>
      <w:r w:rsidRPr="00C16AC0">
        <w:rPr>
          <w:rFonts w:ascii="Times New Roman" w:hAnsi="Times New Roman"/>
          <w:sz w:val="28"/>
          <w:szCs w:val="28"/>
          <w:vertAlign w:val="superscript"/>
        </w:rPr>
        <w:t>1</w:t>
      </w:r>
    </w:p>
    <w:p w14:paraId="10D766B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остановка сердца </w:t>
      </w:r>
    </w:p>
    <w:p w14:paraId="328BEEA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фиброз легких</w:t>
      </w:r>
      <w:r w:rsidRPr="00C16AC0">
        <w:rPr>
          <w:rFonts w:ascii="Times New Roman" w:hAnsi="Times New Roman"/>
          <w:sz w:val="28"/>
          <w:szCs w:val="28"/>
          <w:vertAlign w:val="superscript"/>
        </w:rPr>
        <w:t>1</w:t>
      </w:r>
    </w:p>
    <w:p w14:paraId="3D4EEEF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прободение кишечника</w:t>
      </w:r>
      <w:r w:rsidRPr="00C16AC0">
        <w:rPr>
          <w:rFonts w:ascii="Times New Roman" w:hAnsi="Times New Roman"/>
          <w:sz w:val="28"/>
          <w:szCs w:val="28"/>
          <w:vertAlign w:val="superscript"/>
        </w:rPr>
        <w:t>1)</w:t>
      </w:r>
    </w:p>
    <w:p w14:paraId="1831FDA1"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гепатит, реактивация гепатита В</w:t>
      </w:r>
      <w:r w:rsidRPr="00C16AC0">
        <w:rPr>
          <w:rFonts w:ascii="Times New Roman" w:hAnsi="Times New Roman"/>
          <w:sz w:val="28"/>
          <w:szCs w:val="28"/>
          <w:vertAlign w:val="superscript"/>
        </w:rPr>
        <w:t>1</w:t>
      </w:r>
      <w:r w:rsidRPr="00C16AC0">
        <w:rPr>
          <w:rFonts w:ascii="Times New Roman" w:hAnsi="Times New Roman"/>
          <w:sz w:val="28"/>
          <w:szCs w:val="28"/>
        </w:rPr>
        <w:t>, аутоиммунный гепатит</w:t>
      </w:r>
      <w:r w:rsidRPr="00C16AC0">
        <w:rPr>
          <w:rFonts w:ascii="Times New Roman" w:hAnsi="Times New Roman"/>
          <w:sz w:val="28"/>
          <w:szCs w:val="28"/>
          <w:vertAlign w:val="superscript"/>
        </w:rPr>
        <w:t>1</w:t>
      </w:r>
    </w:p>
    <w:p w14:paraId="50DBCE0C"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vertAlign w:val="superscript"/>
        </w:rPr>
      </w:pPr>
      <w:proofErr w:type="spellStart"/>
      <w:r w:rsidRPr="00C16AC0">
        <w:rPr>
          <w:rFonts w:ascii="Times New Roman" w:hAnsi="Times New Roman"/>
          <w:sz w:val="28"/>
          <w:szCs w:val="28"/>
        </w:rPr>
        <w:t>мультиформная</w:t>
      </w:r>
      <w:proofErr w:type="spellEnd"/>
      <w:r w:rsidRPr="00C16AC0">
        <w:rPr>
          <w:rFonts w:ascii="Times New Roman" w:hAnsi="Times New Roman"/>
          <w:sz w:val="28"/>
          <w:szCs w:val="28"/>
        </w:rPr>
        <w:t xml:space="preserve"> эритема</w:t>
      </w:r>
      <w:r w:rsidRPr="00C16AC0">
        <w:rPr>
          <w:rFonts w:ascii="Times New Roman" w:hAnsi="Times New Roman"/>
          <w:sz w:val="28"/>
          <w:szCs w:val="28"/>
          <w:vertAlign w:val="superscript"/>
        </w:rPr>
        <w:t>1</w:t>
      </w:r>
      <w:r w:rsidRPr="00C16AC0">
        <w:rPr>
          <w:rFonts w:ascii="Times New Roman" w:hAnsi="Times New Roman"/>
          <w:sz w:val="28"/>
          <w:szCs w:val="28"/>
        </w:rPr>
        <w:t>, синдром Стивенса-Джонсона</w:t>
      </w:r>
      <w:r w:rsidRPr="00C16AC0">
        <w:rPr>
          <w:rFonts w:ascii="Times New Roman" w:hAnsi="Times New Roman"/>
          <w:sz w:val="28"/>
          <w:szCs w:val="28"/>
          <w:vertAlign w:val="superscript"/>
        </w:rPr>
        <w:t>1</w:t>
      </w:r>
      <w:r w:rsidRPr="00C16AC0">
        <w:rPr>
          <w:rFonts w:ascii="Times New Roman" w:hAnsi="Times New Roman"/>
          <w:sz w:val="28"/>
          <w:szCs w:val="28"/>
        </w:rPr>
        <w:t>, ангионевротический отек</w:t>
      </w:r>
      <w:r w:rsidRPr="00C16AC0">
        <w:rPr>
          <w:rFonts w:ascii="Times New Roman" w:hAnsi="Times New Roman"/>
          <w:sz w:val="28"/>
          <w:szCs w:val="28"/>
          <w:vertAlign w:val="superscript"/>
        </w:rPr>
        <w:t>1</w:t>
      </w:r>
      <w:r w:rsidRPr="00C16AC0">
        <w:rPr>
          <w:rFonts w:ascii="Times New Roman" w:hAnsi="Times New Roman"/>
          <w:sz w:val="28"/>
          <w:szCs w:val="28"/>
        </w:rPr>
        <w:t>, кожный васкулит</w:t>
      </w:r>
      <w:r w:rsidRPr="00C16AC0">
        <w:rPr>
          <w:rFonts w:ascii="Times New Roman" w:hAnsi="Times New Roman"/>
          <w:sz w:val="28"/>
          <w:szCs w:val="28"/>
          <w:vertAlign w:val="superscript"/>
        </w:rPr>
        <w:t>1</w:t>
      </w:r>
      <w:r w:rsidRPr="00C16AC0">
        <w:rPr>
          <w:rFonts w:ascii="Times New Roman" w:hAnsi="Times New Roman"/>
          <w:sz w:val="28"/>
          <w:szCs w:val="28"/>
        </w:rPr>
        <w:t>, кожно-лихеноидная реакция</w:t>
      </w:r>
      <w:r w:rsidRPr="00C16AC0">
        <w:rPr>
          <w:rFonts w:ascii="Times New Roman" w:hAnsi="Times New Roman"/>
          <w:sz w:val="28"/>
          <w:szCs w:val="28"/>
          <w:vertAlign w:val="superscript"/>
        </w:rPr>
        <w:t>1</w:t>
      </w:r>
      <w:r w:rsidRPr="00C16AC0">
        <w:rPr>
          <w:rFonts w:ascii="Times New Roman" w:hAnsi="Times New Roman"/>
          <w:sz w:val="28"/>
          <w:szCs w:val="28"/>
        </w:rPr>
        <w:t>,</w:t>
      </w:r>
      <w:r w:rsidRPr="00C16AC0">
        <w:rPr>
          <w:rFonts w:ascii="Times New Roman" w:hAnsi="Times New Roman"/>
          <w:sz w:val="28"/>
          <w:szCs w:val="28"/>
          <w:vertAlign w:val="superscript"/>
        </w:rPr>
        <w:t xml:space="preserve"> </w:t>
      </w:r>
      <w:r w:rsidRPr="00C16AC0">
        <w:rPr>
          <w:rFonts w:ascii="Times New Roman" w:hAnsi="Times New Roman"/>
          <w:sz w:val="28"/>
          <w:szCs w:val="28"/>
        </w:rPr>
        <w:t>волчаночный синдром</w:t>
      </w:r>
      <w:r w:rsidRPr="00C16AC0">
        <w:rPr>
          <w:rFonts w:ascii="Times New Roman" w:hAnsi="Times New Roman"/>
          <w:sz w:val="28"/>
          <w:szCs w:val="28"/>
          <w:vertAlign w:val="superscript"/>
        </w:rPr>
        <w:t>1</w:t>
      </w:r>
    </w:p>
    <w:p w14:paraId="1B7C83EB"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Частота неизвестна</w:t>
      </w:r>
    </w:p>
    <w:p w14:paraId="12DD94E2" w14:textId="77777777" w:rsidR="00161092" w:rsidRPr="00C16AC0" w:rsidRDefault="00161092" w:rsidP="00161092">
      <w:pPr>
        <w:spacing w:after="0" w:line="240" w:lineRule="auto"/>
        <w:jc w:val="both"/>
        <w:rPr>
          <w:rFonts w:ascii="Times New Roman" w:hAnsi="Times New Roman"/>
          <w:sz w:val="28"/>
          <w:szCs w:val="28"/>
          <w:vertAlign w:val="superscript"/>
        </w:rPr>
      </w:pPr>
      <w:r w:rsidRPr="00C16AC0">
        <w:rPr>
          <w:rFonts w:ascii="Times New Roman" w:hAnsi="Times New Roman"/>
          <w:sz w:val="28"/>
          <w:szCs w:val="28"/>
        </w:rPr>
        <w:lastRenderedPageBreak/>
        <w:t xml:space="preserve">- </w:t>
      </w:r>
      <w:proofErr w:type="spellStart"/>
      <w:r w:rsidRPr="00C16AC0">
        <w:rPr>
          <w:rFonts w:ascii="Times New Roman" w:hAnsi="Times New Roman"/>
          <w:sz w:val="28"/>
          <w:szCs w:val="28"/>
        </w:rPr>
        <w:t>гепатоспленарная</w:t>
      </w:r>
      <w:proofErr w:type="spellEnd"/>
      <w:r w:rsidRPr="00C16AC0">
        <w:rPr>
          <w:rFonts w:ascii="Times New Roman" w:hAnsi="Times New Roman"/>
          <w:sz w:val="28"/>
          <w:szCs w:val="28"/>
        </w:rPr>
        <w:t xml:space="preserve"> Т-клеточная лимфома</w:t>
      </w:r>
      <w:r w:rsidRPr="00C16AC0">
        <w:rPr>
          <w:rFonts w:ascii="Times New Roman" w:hAnsi="Times New Roman"/>
          <w:sz w:val="28"/>
          <w:szCs w:val="28"/>
          <w:vertAlign w:val="superscript"/>
        </w:rPr>
        <w:t>1</w:t>
      </w:r>
      <w:r w:rsidRPr="00C16AC0">
        <w:rPr>
          <w:rFonts w:ascii="Times New Roman" w:hAnsi="Times New Roman"/>
          <w:sz w:val="28"/>
          <w:szCs w:val="28"/>
        </w:rPr>
        <w:t xml:space="preserve">, клеточная карцинома </w:t>
      </w:r>
      <w:proofErr w:type="spellStart"/>
      <w:r w:rsidRPr="00C16AC0">
        <w:rPr>
          <w:rFonts w:ascii="Times New Roman" w:hAnsi="Times New Roman"/>
          <w:sz w:val="28"/>
          <w:szCs w:val="28"/>
        </w:rPr>
        <w:t>Меркеля</w:t>
      </w:r>
      <w:proofErr w:type="spellEnd"/>
      <w:r w:rsidRPr="00C16AC0">
        <w:rPr>
          <w:rFonts w:ascii="Times New Roman" w:hAnsi="Times New Roman"/>
          <w:sz w:val="28"/>
          <w:szCs w:val="28"/>
        </w:rPr>
        <w:t xml:space="preserve"> (нейроэндокринная карцинома кожи) </w:t>
      </w:r>
      <w:r w:rsidRPr="00C16AC0">
        <w:rPr>
          <w:rFonts w:ascii="Times New Roman" w:hAnsi="Times New Roman"/>
          <w:sz w:val="28"/>
          <w:szCs w:val="28"/>
          <w:vertAlign w:val="superscript"/>
        </w:rPr>
        <w:t>1</w:t>
      </w:r>
    </w:p>
    <w:p w14:paraId="59A552A7" w14:textId="77777777" w:rsidR="00CA4C0A"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 </w:t>
      </w:r>
      <w:r w:rsidR="00CA4C0A" w:rsidRPr="00C16AC0">
        <w:rPr>
          <w:rFonts w:ascii="Times New Roman" w:hAnsi="Times New Roman"/>
          <w:sz w:val="28"/>
          <w:szCs w:val="28"/>
        </w:rPr>
        <w:t>саркома Капоши, редкое злокачественное заболевание, связанное с инфицированием вирусом герпеса человека 8 типа. Саркома Капоши чаще всего проявляется в виде пурпурных очагов поражения на коже.</w:t>
      </w:r>
    </w:p>
    <w:p w14:paraId="3660C57B" w14:textId="77777777" w:rsidR="00161092" w:rsidRPr="00C16AC0" w:rsidRDefault="00CA4C0A"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 </w:t>
      </w:r>
      <w:r w:rsidR="00161092" w:rsidRPr="00C16AC0">
        <w:rPr>
          <w:rFonts w:ascii="Times New Roman" w:hAnsi="Times New Roman"/>
          <w:sz w:val="28"/>
          <w:szCs w:val="28"/>
        </w:rPr>
        <w:t>печеночная недостаточность</w:t>
      </w:r>
    </w:p>
    <w:p w14:paraId="3984E058" w14:textId="386108E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усугубление симптомов дерматомиозита</w:t>
      </w:r>
      <w:r w:rsidRPr="00C16AC0">
        <w:rPr>
          <w:rFonts w:ascii="Times New Roman" w:hAnsi="Times New Roman"/>
          <w:sz w:val="28"/>
          <w:szCs w:val="28"/>
          <w:vertAlign w:val="superscript"/>
        </w:rPr>
        <w:t>1</w:t>
      </w:r>
      <w:r w:rsidR="00CA4C0A" w:rsidRPr="00C16AC0">
        <w:rPr>
          <w:rFonts w:ascii="Times New Roman" w:hAnsi="Times New Roman"/>
          <w:sz w:val="28"/>
          <w:szCs w:val="28"/>
          <w:vertAlign w:val="superscript"/>
        </w:rPr>
        <w:t xml:space="preserve"> </w:t>
      </w:r>
      <w:r w:rsidR="00E969E9" w:rsidRPr="00C16AC0">
        <w:rPr>
          <w:rFonts w:ascii="Times New Roman" w:hAnsi="Times New Roman"/>
          <w:sz w:val="28"/>
          <w:szCs w:val="28"/>
        </w:rPr>
        <w:t>(проявляется в виде кожной сыпи, сопровождающей мышечную слабость)</w:t>
      </w:r>
    </w:p>
    <w:p w14:paraId="2EEEA1EF" w14:textId="70FDA297" w:rsidR="00CC3872" w:rsidRPr="00C16AC0" w:rsidRDefault="00CC3872" w:rsidP="00161092">
      <w:pPr>
        <w:spacing w:after="0" w:line="240" w:lineRule="auto"/>
        <w:jc w:val="both"/>
        <w:rPr>
          <w:rFonts w:ascii="Times New Roman" w:hAnsi="Times New Roman"/>
          <w:sz w:val="28"/>
          <w:szCs w:val="28"/>
          <w:vertAlign w:val="superscript"/>
          <w:lang w:val="ru-KZ"/>
        </w:rPr>
      </w:pPr>
      <w:r w:rsidRPr="00C16AC0">
        <w:rPr>
          <w:rFonts w:ascii="Times New Roman" w:hAnsi="Times New Roman"/>
          <w:sz w:val="28"/>
          <w:szCs w:val="28"/>
          <w:lang w:val="ru-KZ"/>
        </w:rPr>
        <w:t xml:space="preserve">- увеличение веса </w:t>
      </w:r>
      <w:r w:rsidRPr="00C16AC0">
        <w:rPr>
          <w:rFonts w:ascii="Times New Roman" w:hAnsi="Times New Roman"/>
          <w:sz w:val="28"/>
          <w:szCs w:val="28"/>
          <w:vertAlign w:val="superscript"/>
          <w:lang w:val="ru-KZ"/>
        </w:rPr>
        <w:t>2</w:t>
      </w:r>
    </w:p>
    <w:p w14:paraId="399F4F95" w14:textId="77777777" w:rsidR="00161092" w:rsidRPr="00C16AC0" w:rsidRDefault="00161092" w:rsidP="00161092">
      <w:pPr>
        <w:spacing w:after="0" w:line="240" w:lineRule="auto"/>
        <w:jc w:val="both"/>
        <w:rPr>
          <w:rFonts w:ascii="Times New Roman" w:hAnsi="Times New Roman"/>
          <w:sz w:val="24"/>
          <w:szCs w:val="24"/>
        </w:rPr>
      </w:pPr>
      <w:r w:rsidRPr="00C16AC0">
        <w:rPr>
          <w:rFonts w:ascii="Times New Roman" w:hAnsi="Times New Roman"/>
          <w:sz w:val="24"/>
          <w:szCs w:val="24"/>
        </w:rPr>
        <w:t>* - включая открытый период исследований.</w:t>
      </w:r>
    </w:p>
    <w:p w14:paraId="2FBCE923" w14:textId="77777777" w:rsidR="00161092" w:rsidRPr="00C16AC0" w:rsidRDefault="00161092" w:rsidP="00161092">
      <w:pPr>
        <w:spacing w:after="0" w:line="240" w:lineRule="auto"/>
        <w:jc w:val="both"/>
        <w:rPr>
          <w:rFonts w:ascii="Times New Roman" w:hAnsi="Times New Roman"/>
          <w:sz w:val="24"/>
          <w:szCs w:val="24"/>
        </w:rPr>
      </w:pPr>
      <w:bookmarkStart w:id="16" w:name="_Hlk73959813"/>
      <w:r w:rsidRPr="00C16AC0">
        <w:rPr>
          <w:rFonts w:ascii="Times New Roman" w:hAnsi="Times New Roman"/>
          <w:sz w:val="24"/>
          <w:szCs w:val="24"/>
          <w:vertAlign w:val="superscript"/>
        </w:rPr>
        <w:t xml:space="preserve">1 </w:t>
      </w:r>
      <w:r w:rsidRPr="00C16AC0">
        <w:rPr>
          <w:rFonts w:ascii="Times New Roman" w:hAnsi="Times New Roman"/>
          <w:sz w:val="24"/>
          <w:szCs w:val="24"/>
        </w:rPr>
        <w:t>–</w:t>
      </w:r>
      <w:bookmarkEnd w:id="16"/>
      <w:r w:rsidRPr="00C16AC0">
        <w:rPr>
          <w:rFonts w:ascii="Times New Roman" w:hAnsi="Times New Roman"/>
          <w:sz w:val="24"/>
          <w:szCs w:val="24"/>
        </w:rPr>
        <w:t xml:space="preserve"> включая данные спонтанных отчетов.</w:t>
      </w:r>
    </w:p>
    <w:p w14:paraId="245F9206" w14:textId="71B4B127" w:rsidR="00A95C7E" w:rsidRPr="00C16AC0" w:rsidRDefault="00A95C7E" w:rsidP="00161092">
      <w:pPr>
        <w:spacing w:after="0" w:line="240" w:lineRule="auto"/>
        <w:jc w:val="both"/>
        <w:rPr>
          <w:rFonts w:ascii="Times New Roman" w:hAnsi="Times New Roman"/>
          <w:sz w:val="24"/>
          <w:szCs w:val="24"/>
          <w:lang w:val="ru-KZ"/>
        </w:rPr>
      </w:pPr>
      <w:r w:rsidRPr="00C16AC0">
        <w:rPr>
          <w:rFonts w:ascii="Times New Roman" w:hAnsi="Times New Roman"/>
          <w:sz w:val="24"/>
          <w:szCs w:val="24"/>
          <w:vertAlign w:val="superscript"/>
          <w:lang w:val="ru-KZ"/>
        </w:rPr>
        <w:t xml:space="preserve">2 </w:t>
      </w:r>
      <w:r w:rsidRPr="00C16AC0">
        <w:rPr>
          <w:rFonts w:ascii="Times New Roman" w:hAnsi="Times New Roman"/>
          <w:sz w:val="24"/>
          <w:szCs w:val="24"/>
          <w:vertAlign w:val="superscript"/>
        </w:rPr>
        <w:t>–</w:t>
      </w:r>
      <w:r w:rsidRPr="00C16AC0">
        <w:rPr>
          <w:rFonts w:ascii="Times New Roman" w:hAnsi="Times New Roman"/>
          <w:sz w:val="24"/>
          <w:szCs w:val="24"/>
          <w:vertAlign w:val="superscript"/>
          <w:lang w:val="ru-KZ"/>
        </w:rPr>
        <w:t xml:space="preserve">  </w:t>
      </w:r>
      <w:r w:rsidRPr="00C16AC0">
        <w:rPr>
          <w:rFonts w:ascii="Times New Roman" w:hAnsi="Times New Roman"/>
          <w:sz w:val="24"/>
          <w:szCs w:val="24"/>
          <w:lang w:val="ru-KZ"/>
        </w:rPr>
        <w:t>Среднее изменение веса при применении адалимумаба по показаниям колебалось от 0,3 кг до 1,0 кг для взрослых пациентов по сравнению от исходного (минус) -0,4 кг до 0,4 кг в течение 4-6 месяцев лечения. Увеличение массы тела на 5-6 кг также наблюдалось в долгосрочных расширенных исследованиях со средним воздействием примерно в течении 1-2 лет, особенно у пациентов с болезнью Крона и язвенным колитом. Механизм этого эффекта неясен, но может быть связан с противовоспалительным действием адалимумаба.</w:t>
      </w:r>
    </w:p>
    <w:p w14:paraId="3BFD1E8D" w14:textId="77777777" w:rsidR="00A95C7E" w:rsidRPr="00C16AC0" w:rsidRDefault="00A95C7E" w:rsidP="00161092">
      <w:pPr>
        <w:spacing w:after="0" w:line="240" w:lineRule="auto"/>
        <w:jc w:val="both"/>
        <w:rPr>
          <w:rFonts w:ascii="Times New Roman" w:hAnsi="Times New Roman"/>
          <w:sz w:val="24"/>
          <w:szCs w:val="24"/>
          <w:lang w:val="ru-KZ"/>
        </w:rPr>
      </w:pPr>
    </w:p>
    <w:p w14:paraId="683B5DAC" w14:textId="2E9850C6"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Дети</w:t>
      </w:r>
    </w:p>
    <w:p w14:paraId="488586B2"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Как правило, побочные реакции, возникающие у детей, были подобны по частоте и характеру побочным реакциям, наблюдавшимся у взрослых пациентов.</w:t>
      </w:r>
    </w:p>
    <w:p w14:paraId="458D3421"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Реакции в месте введения</w:t>
      </w:r>
    </w:p>
    <w:p w14:paraId="5515AB2E"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Большинство реакций были легкими и в целом не требовали отмены препарата.</w:t>
      </w:r>
    </w:p>
    <w:p w14:paraId="3B54F1B5"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Инфекции</w:t>
      </w:r>
    </w:p>
    <w:p w14:paraId="44C9791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Преимущественно это были </w:t>
      </w:r>
      <w:proofErr w:type="spellStart"/>
      <w:r w:rsidRPr="00C16AC0">
        <w:rPr>
          <w:rFonts w:ascii="Times New Roman" w:hAnsi="Times New Roman"/>
          <w:sz w:val="28"/>
          <w:szCs w:val="28"/>
        </w:rPr>
        <w:t>назофарингит</w:t>
      </w:r>
      <w:proofErr w:type="spellEnd"/>
      <w:r w:rsidRPr="00C16AC0">
        <w:rPr>
          <w:rFonts w:ascii="Times New Roman" w:hAnsi="Times New Roman"/>
          <w:sz w:val="28"/>
          <w:szCs w:val="28"/>
        </w:rPr>
        <w:t xml:space="preserve">, инфекции верхних дыхательных путей и синусит. Большинство пациентов продолжили применять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после выздоровления.</w:t>
      </w:r>
    </w:p>
    <w:p w14:paraId="0037DE2C"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У взрослых и детей сообщалось о развитии тяжелых инфекций (редко с фатальным исходом): туберкулеза (в том числе милиарного и внелегочной локализации) и инвазивных оппортунистических инфекций (таких как диссеминированный </w:t>
      </w:r>
      <w:proofErr w:type="spellStart"/>
      <w:r w:rsidRPr="00C16AC0">
        <w:rPr>
          <w:rFonts w:ascii="Times New Roman" w:hAnsi="Times New Roman"/>
          <w:sz w:val="28"/>
          <w:szCs w:val="28"/>
        </w:rPr>
        <w:t>гистоплазмоз</w:t>
      </w:r>
      <w:proofErr w:type="spellEnd"/>
      <w:r w:rsidRPr="00C16AC0">
        <w:rPr>
          <w:rFonts w:ascii="Times New Roman" w:hAnsi="Times New Roman"/>
          <w:sz w:val="28"/>
          <w:szCs w:val="28"/>
        </w:rPr>
        <w:t xml:space="preserve">, пневмоцистная пневмония, аспергиллез, </w:t>
      </w:r>
      <w:proofErr w:type="spellStart"/>
      <w:r w:rsidRPr="00C16AC0">
        <w:rPr>
          <w:rFonts w:ascii="Times New Roman" w:hAnsi="Times New Roman"/>
          <w:sz w:val="28"/>
          <w:szCs w:val="28"/>
        </w:rPr>
        <w:t>листериоз</w:t>
      </w:r>
      <w:proofErr w:type="spellEnd"/>
      <w:r w:rsidRPr="00C16AC0">
        <w:rPr>
          <w:rFonts w:ascii="Times New Roman" w:hAnsi="Times New Roman"/>
          <w:sz w:val="28"/>
          <w:szCs w:val="28"/>
        </w:rPr>
        <w:t>).</w:t>
      </w:r>
    </w:p>
    <w:p w14:paraId="7A52FDE5"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 xml:space="preserve">Новообразования и </w:t>
      </w:r>
      <w:proofErr w:type="spellStart"/>
      <w:r w:rsidRPr="00C16AC0">
        <w:rPr>
          <w:rFonts w:ascii="Times New Roman" w:hAnsi="Times New Roman"/>
          <w:i/>
          <w:sz w:val="28"/>
          <w:szCs w:val="28"/>
        </w:rPr>
        <w:t>лимфопролиферативные</w:t>
      </w:r>
      <w:proofErr w:type="spellEnd"/>
      <w:r w:rsidRPr="00C16AC0">
        <w:rPr>
          <w:rFonts w:ascii="Times New Roman" w:hAnsi="Times New Roman"/>
          <w:i/>
          <w:sz w:val="28"/>
          <w:szCs w:val="28"/>
        </w:rPr>
        <w:t xml:space="preserve"> расстройства</w:t>
      </w:r>
    </w:p>
    <w:p w14:paraId="5CE33812"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У взрослых пациентов с РА от средней до высокой степени активности, пациентов с </w:t>
      </w:r>
      <w:proofErr w:type="spellStart"/>
      <w:r w:rsidRPr="00C16AC0">
        <w:rPr>
          <w:rFonts w:ascii="Times New Roman" w:hAnsi="Times New Roman"/>
          <w:sz w:val="28"/>
          <w:szCs w:val="28"/>
        </w:rPr>
        <w:t>анкилозирующим</w:t>
      </w:r>
      <w:proofErr w:type="spellEnd"/>
      <w:r w:rsidRPr="00C16AC0">
        <w:rPr>
          <w:rFonts w:ascii="Times New Roman" w:hAnsi="Times New Roman"/>
          <w:sz w:val="28"/>
          <w:szCs w:val="28"/>
        </w:rPr>
        <w:t xml:space="preserve"> спондилитом, аксиальным спондилоартритом (АС и </w:t>
      </w:r>
      <w:proofErr w:type="spellStart"/>
      <w:r w:rsidRPr="00C16AC0">
        <w:rPr>
          <w:rFonts w:ascii="Times New Roman" w:hAnsi="Times New Roman"/>
          <w:sz w:val="28"/>
          <w:szCs w:val="28"/>
        </w:rPr>
        <w:t>нерентгенографическим</w:t>
      </w:r>
      <w:proofErr w:type="spellEnd"/>
      <w:r w:rsidRPr="00C16AC0">
        <w:rPr>
          <w:rFonts w:ascii="Times New Roman" w:hAnsi="Times New Roman"/>
          <w:sz w:val="28"/>
          <w:szCs w:val="28"/>
        </w:rPr>
        <w:t xml:space="preserve"> аксиальным спондилоартритом), </w:t>
      </w:r>
      <w:proofErr w:type="spellStart"/>
      <w:r w:rsidRPr="00C16AC0">
        <w:rPr>
          <w:rFonts w:ascii="Times New Roman" w:hAnsi="Times New Roman"/>
          <w:sz w:val="28"/>
          <w:szCs w:val="28"/>
        </w:rPr>
        <w:t>ПсА</w:t>
      </w:r>
      <w:proofErr w:type="spellEnd"/>
      <w:r w:rsidRPr="00C16AC0">
        <w:rPr>
          <w:rFonts w:ascii="Times New Roman" w:hAnsi="Times New Roman"/>
          <w:sz w:val="28"/>
          <w:szCs w:val="28"/>
        </w:rPr>
        <w:t xml:space="preserve">, псориазом, гнойным гидраденитом, БК, ЯК и увеитом уровень новообразований составил 6,8 на 1000 </w:t>
      </w:r>
      <w:proofErr w:type="spellStart"/>
      <w:r w:rsidRPr="00C16AC0">
        <w:rPr>
          <w:rFonts w:ascii="Times New Roman" w:hAnsi="Times New Roman"/>
          <w:sz w:val="28"/>
          <w:szCs w:val="28"/>
        </w:rPr>
        <w:t>пациенто</w:t>
      </w:r>
      <w:proofErr w:type="spellEnd"/>
      <w:r w:rsidRPr="00C16AC0">
        <w:rPr>
          <w:rFonts w:ascii="Times New Roman" w:hAnsi="Times New Roman"/>
          <w:sz w:val="28"/>
          <w:szCs w:val="28"/>
        </w:rPr>
        <w:t>-лет среди 5291 пациента.</w:t>
      </w:r>
    </w:p>
    <w:p w14:paraId="13EAF8C3"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Аутоантитела</w:t>
      </w:r>
    </w:p>
    <w:p w14:paraId="38560BBC"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Сообщалось, что у 11.9 % пациентов, которые принимали препарат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и у 8.1 % пациентов, принимавших плацебо, и пациентов контрольной группы, у которых были изначально отрицательные титры </w:t>
      </w:r>
      <w:r w:rsidRPr="00C16AC0">
        <w:rPr>
          <w:rFonts w:ascii="Times New Roman" w:hAnsi="Times New Roman"/>
          <w:sz w:val="28"/>
          <w:szCs w:val="28"/>
        </w:rPr>
        <w:lastRenderedPageBreak/>
        <w:t>антинуклеарных антител, положительные титры появились на 24 неделе. У 2 из 3</w:t>
      </w:r>
      <w:r w:rsidR="006C5867" w:rsidRPr="00C16AC0">
        <w:rPr>
          <w:rFonts w:ascii="Times New Roman" w:hAnsi="Times New Roman"/>
          <w:sz w:val="28"/>
          <w:szCs w:val="28"/>
        </w:rPr>
        <w:t>046</w:t>
      </w:r>
      <w:r w:rsidRPr="00C16AC0">
        <w:rPr>
          <w:rFonts w:ascii="Times New Roman" w:hAnsi="Times New Roman"/>
          <w:sz w:val="28"/>
          <w:szCs w:val="28"/>
        </w:rPr>
        <w:t xml:space="preserve"> пациентов, принимавших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с ревматоидным артритом, </w:t>
      </w:r>
      <w:proofErr w:type="spellStart"/>
      <w:r w:rsidRPr="00C16AC0">
        <w:rPr>
          <w:rFonts w:ascii="Times New Roman" w:hAnsi="Times New Roman"/>
          <w:sz w:val="28"/>
          <w:szCs w:val="28"/>
        </w:rPr>
        <w:t>псориатическим</w:t>
      </w:r>
      <w:proofErr w:type="spellEnd"/>
      <w:r w:rsidRPr="00C16AC0">
        <w:rPr>
          <w:rFonts w:ascii="Times New Roman" w:hAnsi="Times New Roman"/>
          <w:sz w:val="28"/>
          <w:szCs w:val="28"/>
        </w:rPr>
        <w:t xml:space="preserve"> артритом и </w:t>
      </w:r>
      <w:proofErr w:type="spellStart"/>
      <w:r w:rsidRPr="00C16AC0">
        <w:rPr>
          <w:rFonts w:ascii="Times New Roman" w:hAnsi="Times New Roman"/>
          <w:sz w:val="28"/>
          <w:szCs w:val="28"/>
        </w:rPr>
        <w:t>анкилозирующим</w:t>
      </w:r>
      <w:proofErr w:type="spellEnd"/>
      <w:r w:rsidRPr="00C16AC0">
        <w:rPr>
          <w:rFonts w:ascii="Times New Roman" w:hAnsi="Times New Roman"/>
          <w:sz w:val="28"/>
          <w:szCs w:val="28"/>
        </w:rPr>
        <w:t xml:space="preserve"> спондилитом, развились клинические проявления волчаночно-подобного синдрома. Состояние пациентов улучшилось после отмены лечения. Ни у одного пациента не развились люпус-нефрит или поражения центральной нервной системы. Влияние длительного применения адалимумаба на развитие аутоиммунных заболеваний не известно.</w:t>
      </w:r>
    </w:p>
    <w:p w14:paraId="580CFC4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i/>
          <w:sz w:val="28"/>
          <w:szCs w:val="28"/>
        </w:rPr>
        <w:t>Псориаз</w:t>
      </w:r>
      <w:r w:rsidRPr="00C16AC0">
        <w:rPr>
          <w:rFonts w:ascii="Times New Roman" w:hAnsi="Times New Roman"/>
          <w:sz w:val="28"/>
          <w:szCs w:val="28"/>
        </w:rPr>
        <w:t xml:space="preserve"> </w:t>
      </w:r>
    </w:p>
    <w:p w14:paraId="0537B0A7"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Сообщалось о новых случаях возникновения псориаза, включая пустулезный псориаз и ладонно-подошвенный псориаз, а также о случаях ухудшения течения псориаза на фоне лечения ФНО-блокаторами, включая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Большинство пациентов получали параллельно </w:t>
      </w:r>
      <w:proofErr w:type="spellStart"/>
      <w:r w:rsidRPr="00C16AC0">
        <w:rPr>
          <w:rFonts w:ascii="Times New Roman" w:hAnsi="Times New Roman"/>
          <w:sz w:val="28"/>
          <w:szCs w:val="28"/>
        </w:rPr>
        <w:t>иммуносупрессанты</w:t>
      </w:r>
      <w:proofErr w:type="spellEnd"/>
      <w:r w:rsidRPr="00C16AC0">
        <w:rPr>
          <w:rFonts w:ascii="Times New Roman" w:hAnsi="Times New Roman"/>
          <w:sz w:val="28"/>
          <w:szCs w:val="28"/>
        </w:rPr>
        <w:t xml:space="preserve"> (например, метотрексат, кортикостероиды). </w:t>
      </w:r>
    </w:p>
    <w:p w14:paraId="44809D42" w14:textId="77777777" w:rsidR="00FD3E7E" w:rsidRPr="00C16AC0" w:rsidRDefault="00FD3E7E" w:rsidP="00161092">
      <w:pPr>
        <w:spacing w:after="0" w:line="240" w:lineRule="auto"/>
        <w:jc w:val="both"/>
        <w:rPr>
          <w:rFonts w:ascii="Times New Roman" w:hAnsi="Times New Roman"/>
          <w:sz w:val="28"/>
          <w:szCs w:val="28"/>
        </w:rPr>
      </w:pPr>
      <w:bookmarkStart w:id="17" w:name="_Hlk52962469"/>
      <w:r w:rsidRPr="00C16AC0">
        <w:rPr>
          <w:rFonts w:ascii="Times New Roman" w:hAnsi="Times New Roman"/>
          <w:sz w:val="28"/>
          <w:szCs w:val="28"/>
        </w:rPr>
        <w:t xml:space="preserve">У некоторых людей, использующих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был впервые выявленный псориаз или ухудшение псориаза. Сообщите своему лечащему врачу, если у вас появятся красные чешуйчатые пятна или приподнятые над поверхностью здоровой кожи пузырьки или волдыри, наполненные гнойным экссудатом. Ваш врач может принять решение о прекращении лечения с помощью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w:t>
      </w:r>
    </w:p>
    <w:bookmarkEnd w:id="17"/>
    <w:p w14:paraId="151DB55C"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Повышение активности ферментов печени</w:t>
      </w:r>
    </w:p>
    <w:p w14:paraId="2FC34FB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При всех показаниях в клинических исследованиях повышение активности АЛТ у пациентов не сопровождалось симптомами, и в большинстве случаев носило преходящий характер и разрешалось без прекращения лечения. Тем не менее, в </w:t>
      </w:r>
      <w:proofErr w:type="spellStart"/>
      <w:r w:rsidRPr="00C16AC0">
        <w:rPr>
          <w:rFonts w:ascii="Times New Roman" w:hAnsi="Times New Roman"/>
          <w:sz w:val="28"/>
          <w:szCs w:val="28"/>
        </w:rPr>
        <w:t>постмаркетинговом</w:t>
      </w:r>
      <w:proofErr w:type="spellEnd"/>
      <w:r w:rsidRPr="00C16AC0">
        <w:rPr>
          <w:rFonts w:ascii="Times New Roman" w:hAnsi="Times New Roman"/>
          <w:sz w:val="28"/>
          <w:szCs w:val="28"/>
        </w:rPr>
        <w:t xml:space="preserve"> периоде были получены очень редкие сообщения о тяжелых печеночных реакциях, включая печеночную недостаточность у пациентов, получающих антагонисты ФНО, в т.ч.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Причинно-следственная связь таких реакций с лечением </w:t>
      </w:r>
      <w:proofErr w:type="spellStart"/>
      <w:r w:rsidRPr="00C16AC0">
        <w:rPr>
          <w:rFonts w:ascii="Times New Roman" w:hAnsi="Times New Roman"/>
          <w:sz w:val="28"/>
          <w:szCs w:val="28"/>
        </w:rPr>
        <w:t>адалимумабом</w:t>
      </w:r>
      <w:proofErr w:type="spellEnd"/>
      <w:r w:rsidRPr="00C16AC0">
        <w:rPr>
          <w:rFonts w:ascii="Times New Roman" w:hAnsi="Times New Roman"/>
          <w:sz w:val="28"/>
          <w:szCs w:val="28"/>
        </w:rPr>
        <w:t xml:space="preserve"> остается неясной. </w:t>
      </w:r>
    </w:p>
    <w:p w14:paraId="72D69372" w14:textId="77777777" w:rsidR="00161092" w:rsidRPr="00C16AC0" w:rsidRDefault="00161092" w:rsidP="00161092">
      <w:pPr>
        <w:spacing w:after="0" w:line="240" w:lineRule="auto"/>
        <w:jc w:val="both"/>
        <w:rPr>
          <w:rFonts w:ascii="Times New Roman" w:hAnsi="Times New Roman"/>
          <w:b/>
          <w:sz w:val="28"/>
          <w:szCs w:val="28"/>
        </w:rPr>
      </w:pPr>
    </w:p>
    <w:p w14:paraId="2CE36670" w14:textId="77777777" w:rsidR="00161092" w:rsidRPr="00C16AC0" w:rsidRDefault="00161092" w:rsidP="00161092">
      <w:pPr>
        <w:spacing w:after="0" w:line="240" w:lineRule="auto"/>
        <w:jc w:val="both"/>
        <w:rPr>
          <w:rFonts w:ascii="Times New Roman" w:hAnsi="Times New Roman"/>
          <w:b/>
          <w:sz w:val="28"/>
          <w:szCs w:val="28"/>
        </w:rPr>
      </w:pPr>
      <w:r w:rsidRPr="00C16AC0">
        <w:rPr>
          <w:rFonts w:ascii="Times New Roman" w:hAnsi="Times New Roman"/>
          <w:b/>
          <w:sz w:val="28"/>
          <w:szCs w:val="28"/>
        </w:rPr>
        <w:t>Таблица 5.</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73"/>
      </w:tblGrid>
      <w:tr w:rsidR="00161092" w:rsidRPr="00C16AC0" w14:paraId="2C3DC88F" w14:textId="77777777" w:rsidTr="00C027AA">
        <w:tc>
          <w:tcPr>
            <w:tcW w:w="2491" w:type="pct"/>
          </w:tcPr>
          <w:p w14:paraId="2ADDB16D" w14:textId="77777777" w:rsidR="00161092" w:rsidRPr="00C16AC0" w:rsidRDefault="00161092" w:rsidP="00161092">
            <w:pPr>
              <w:autoSpaceDE w:val="0"/>
              <w:autoSpaceDN w:val="0"/>
              <w:adjustRightInd w:val="0"/>
              <w:spacing w:after="0" w:line="240" w:lineRule="auto"/>
              <w:jc w:val="center"/>
              <w:rPr>
                <w:rFonts w:ascii="Times New Roman" w:eastAsia="MS Mincho" w:hAnsi="Times New Roman"/>
                <w:bCs/>
                <w:sz w:val="28"/>
                <w:szCs w:val="28"/>
                <w:lang w:eastAsia="ja-JP" w:bidi="bo-CN"/>
              </w:rPr>
            </w:pPr>
            <w:r w:rsidRPr="00C16AC0">
              <w:rPr>
                <w:rFonts w:ascii="Times New Roman" w:eastAsia="MS Mincho" w:hAnsi="Times New Roman"/>
                <w:bCs/>
                <w:sz w:val="28"/>
                <w:szCs w:val="28"/>
                <w:lang w:eastAsia="ja-JP"/>
              </w:rPr>
              <w:t>Органы и системы организма</w:t>
            </w:r>
          </w:p>
        </w:tc>
        <w:tc>
          <w:tcPr>
            <w:tcW w:w="2509" w:type="pct"/>
          </w:tcPr>
          <w:p w14:paraId="15EC7B2A" w14:textId="77777777" w:rsidR="00161092" w:rsidRPr="00C16AC0" w:rsidRDefault="00161092" w:rsidP="00161092">
            <w:pPr>
              <w:autoSpaceDE w:val="0"/>
              <w:autoSpaceDN w:val="0"/>
              <w:adjustRightInd w:val="0"/>
              <w:spacing w:after="0" w:line="240" w:lineRule="auto"/>
              <w:jc w:val="center"/>
              <w:rPr>
                <w:rFonts w:ascii="Times New Roman" w:eastAsia="MS Mincho" w:hAnsi="Times New Roman"/>
                <w:bCs/>
                <w:sz w:val="28"/>
                <w:szCs w:val="28"/>
                <w:lang w:eastAsia="ja-JP" w:bidi="bo-CN"/>
              </w:rPr>
            </w:pPr>
            <w:r w:rsidRPr="00C16AC0">
              <w:rPr>
                <w:rFonts w:ascii="Times New Roman" w:eastAsia="MS Mincho" w:hAnsi="Times New Roman"/>
                <w:bCs/>
                <w:sz w:val="28"/>
                <w:szCs w:val="28"/>
                <w:lang w:eastAsia="ja-JP" w:bidi="bo-CN"/>
              </w:rPr>
              <w:t>Побочные реакции</w:t>
            </w:r>
          </w:p>
        </w:tc>
      </w:tr>
      <w:tr w:rsidR="00161092" w:rsidRPr="00C16AC0" w14:paraId="01C8A8DE" w14:textId="77777777" w:rsidTr="00C027AA">
        <w:tc>
          <w:tcPr>
            <w:tcW w:w="2491" w:type="pct"/>
          </w:tcPr>
          <w:p w14:paraId="5943E8A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Инфекции и инвазии</w:t>
            </w:r>
          </w:p>
        </w:tc>
        <w:tc>
          <w:tcPr>
            <w:tcW w:w="2509" w:type="pct"/>
          </w:tcPr>
          <w:p w14:paraId="1D41D658"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iCs/>
                <w:sz w:val="28"/>
                <w:szCs w:val="28"/>
                <w:lang w:eastAsia="ja-JP"/>
              </w:rPr>
            </w:pPr>
            <w:proofErr w:type="spellStart"/>
            <w:r w:rsidRPr="00C16AC0">
              <w:rPr>
                <w:rFonts w:ascii="Times New Roman" w:eastAsia="MS Mincho" w:hAnsi="Times New Roman"/>
                <w:iCs/>
                <w:sz w:val="28"/>
                <w:szCs w:val="28"/>
                <w:lang w:eastAsia="ja-JP"/>
              </w:rPr>
              <w:t>Дивертикулит</w:t>
            </w:r>
            <w:proofErr w:type="spellEnd"/>
          </w:p>
        </w:tc>
      </w:tr>
      <w:tr w:rsidR="00161092" w:rsidRPr="00C16AC0" w14:paraId="4CB28DE5" w14:textId="77777777" w:rsidTr="00C027AA">
        <w:tc>
          <w:tcPr>
            <w:tcW w:w="2491" w:type="pct"/>
          </w:tcPr>
          <w:p w14:paraId="0A02F749"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Доброкачественные, злокачественные и неопределенные новообразования (включая кисты и полипы)</w:t>
            </w:r>
          </w:p>
        </w:tc>
        <w:tc>
          <w:tcPr>
            <w:tcW w:w="2509" w:type="pct"/>
          </w:tcPr>
          <w:p w14:paraId="2ED56C90"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iCs/>
                <w:sz w:val="28"/>
                <w:szCs w:val="28"/>
                <w:lang w:eastAsia="ja-JP"/>
              </w:rPr>
            </w:pPr>
            <w:proofErr w:type="spellStart"/>
            <w:r w:rsidRPr="00C16AC0">
              <w:rPr>
                <w:rFonts w:ascii="Times New Roman" w:eastAsia="MS Mincho" w:hAnsi="Times New Roman"/>
                <w:iCs/>
                <w:sz w:val="28"/>
                <w:szCs w:val="28"/>
                <w:lang w:eastAsia="ja-JP"/>
              </w:rPr>
              <w:t>гепатолиенальная</w:t>
            </w:r>
            <w:proofErr w:type="spellEnd"/>
            <w:r w:rsidRPr="00C16AC0">
              <w:rPr>
                <w:rFonts w:ascii="Times New Roman" w:eastAsia="MS Mincho" w:hAnsi="Times New Roman"/>
                <w:iCs/>
                <w:sz w:val="28"/>
                <w:szCs w:val="28"/>
                <w:lang w:eastAsia="ja-JP"/>
              </w:rPr>
              <w:t xml:space="preserve"> Т-клеточная лимфома, лейкоз, карцинома </w:t>
            </w:r>
            <w:proofErr w:type="spellStart"/>
            <w:r w:rsidRPr="00C16AC0">
              <w:rPr>
                <w:rFonts w:ascii="Times New Roman" w:eastAsia="MS Mincho" w:hAnsi="Times New Roman"/>
                <w:iCs/>
                <w:sz w:val="28"/>
                <w:szCs w:val="28"/>
                <w:lang w:eastAsia="ja-JP"/>
              </w:rPr>
              <w:t>Меркеля</w:t>
            </w:r>
            <w:proofErr w:type="spellEnd"/>
            <w:r w:rsidRPr="00C16AC0">
              <w:rPr>
                <w:rFonts w:ascii="Times New Roman" w:eastAsia="MS Mincho" w:hAnsi="Times New Roman"/>
                <w:iCs/>
                <w:sz w:val="28"/>
                <w:szCs w:val="28"/>
                <w:lang w:eastAsia="ja-JP"/>
              </w:rPr>
              <w:t xml:space="preserve"> (нейроэндокринная карцинома кожи)</w:t>
            </w:r>
          </w:p>
        </w:tc>
      </w:tr>
      <w:tr w:rsidR="00161092" w:rsidRPr="00C16AC0" w14:paraId="5EB9BD58" w14:textId="77777777" w:rsidTr="00C027AA">
        <w:tc>
          <w:tcPr>
            <w:tcW w:w="2491" w:type="pct"/>
          </w:tcPr>
          <w:p w14:paraId="78FA609E"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Нарушение со стороны иммунной системы</w:t>
            </w:r>
          </w:p>
        </w:tc>
        <w:tc>
          <w:tcPr>
            <w:tcW w:w="2509" w:type="pct"/>
          </w:tcPr>
          <w:p w14:paraId="38598E6D"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анафилаксия, саркоидоз</w:t>
            </w:r>
          </w:p>
        </w:tc>
      </w:tr>
      <w:tr w:rsidR="00161092" w:rsidRPr="00C16AC0" w14:paraId="692BC0E3" w14:textId="77777777" w:rsidTr="00C027AA">
        <w:tc>
          <w:tcPr>
            <w:tcW w:w="2491" w:type="pct"/>
          </w:tcPr>
          <w:p w14:paraId="16A1B954"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Неврологические расстройства</w:t>
            </w:r>
          </w:p>
        </w:tc>
        <w:tc>
          <w:tcPr>
            <w:tcW w:w="2509" w:type="pct"/>
          </w:tcPr>
          <w:p w14:paraId="554F959E"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C16AC0">
              <w:rPr>
                <w:rFonts w:ascii="Times New Roman" w:eastAsia="MS Mincho" w:hAnsi="Times New Roman"/>
                <w:sz w:val="28"/>
                <w:szCs w:val="28"/>
                <w:lang w:eastAsia="ja-JP" w:bidi="bo-CN"/>
              </w:rPr>
              <w:t>демиелинизирующие</w:t>
            </w:r>
            <w:proofErr w:type="spellEnd"/>
            <w:r w:rsidRPr="00C16AC0">
              <w:rPr>
                <w:rFonts w:ascii="Times New Roman" w:eastAsia="MS Mincho" w:hAnsi="Times New Roman"/>
                <w:sz w:val="28"/>
                <w:szCs w:val="28"/>
                <w:lang w:eastAsia="ja-JP" w:bidi="bo-CN"/>
              </w:rPr>
              <w:t xml:space="preserve"> нарушения (например, неврит зрительного нерва, синдром </w:t>
            </w:r>
            <w:proofErr w:type="spellStart"/>
            <w:r w:rsidRPr="00C16AC0">
              <w:rPr>
                <w:rFonts w:ascii="Times New Roman" w:eastAsia="MS Mincho" w:hAnsi="Times New Roman"/>
                <w:sz w:val="28"/>
                <w:szCs w:val="28"/>
                <w:lang w:eastAsia="ja-JP" w:bidi="bo-CN"/>
              </w:rPr>
              <w:t>Гийена</w:t>
            </w:r>
            <w:proofErr w:type="spellEnd"/>
            <w:r w:rsidRPr="00C16AC0">
              <w:rPr>
                <w:rFonts w:ascii="Times New Roman" w:eastAsia="MS Mincho" w:hAnsi="Times New Roman"/>
                <w:sz w:val="28"/>
                <w:szCs w:val="28"/>
                <w:lang w:eastAsia="ja-JP" w:bidi="bo-CN"/>
              </w:rPr>
              <w:t>-Барре), инсульт</w:t>
            </w:r>
          </w:p>
        </w:tc>
      </w:tr>
      <w:tr w:rsidR="00161092" w:rsidRPr="00C16AC0" w14:paraId="42D13F80" w14:textId="77777777" w:rsidTr="00C027AA">
        <w:tc>
          <w:tcPr>
            <w:tcW w:w="2491" w:type="pct"/>
          </w:tcPr>
          <w:p w14:paraId="4E93B349"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 xml:space="preserve">Нарушения со стороны дыхательной системы, органов </w:t>
            </w:r>
            <w:r w:rsidRPr="00C16AC0">
              <w:rPr>
                <w:rFonts w:ascii="Times New Roman" w:eastAsia="MS Mincho" w:hAnsi="Times New Roman"/>
                <w:sz w:val="28"/>
                <w:szCs w:val="28"/>
                <w:lang w:eastAsia="ja-JP" w:bidi="bo-CN"/>
              </w:rPr>
              <w:lastRenderedPageBreak/>
              <w:t>грудной клетки и средостения</w:t>
            </w:r>
          </w:p>
        </w:tc>
        <w:tc>
          <w:tcPr>
            <w:tcW w:w="2509" w:type="pct"/>
          </w:tcPr>
          <w:p w14:paraId="1351C3CD"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lastRenderedPageBreak/>
              <w:t>эмболия легких, плевральный выпот, фиброз легких</w:t>
            </w:r>
          </w:p>
        </w:tc>
      </w:tr>
      <w:tr w:rsidR="00161092" w:rsidRPr="00C16AC0" w14:paraId="1B23F919" w14:textId="77777777" w:rsidTr="00C027AA">
        <w:tc>
          <w:tcPr>
            <w:tcW w:w="2491" w:type="pct"/>
          </w:tcPr>
          <w:p w14:paraId="707DFBE5"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Желудочно-кишечные расстройства</w:t>
            </w:r>
          </w:p>
        </w:tc>
        <w:tc>
          <w:tcPr>
            <w:tcW w:w="2509" w:type="pct"/>
          </w:tcPr>
          <w:p w14:paraId="2C357DB3"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 xml:space="preserve">перфорация кишечника </w:t>
            </w:r>
          </w:p>
        </w:tc>
      </w:tr>
      <w:tr w:rsidR="00161092" w:rsidRPr="00C16AC0" w14:paraId="0A78CB14" w14:textId="77777777" w:rsidTr="00C027AA">
        <w:tc>
          <w:tcPr>
            <w:tcW w:w="2491" w:type="pct"/>
          </w:tcPr>
          <w:p w14:paraId="4E17E8F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Расстройства гепатобилиарной системы</w:t>
            </w:r>
          </w:p>
        </w:tc>
        <w:tc>
          <w:tcPr>
            <w:tcW w:w="2509" w:type="pct"/>
          </w:tcPr>
          <w:p w14:paraId="0651C82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реактивация гепатита В, печеночная недостаточность, гепатит</w:t>
            </w:r>
          </w:p>
        </w:tc>
      </w:tr>
      <w:tr w:rsidR="00161092" w:rsidRPr="00C16AC0" w14:paraId="49534F9D" w14:textId="77777777" w:rsidTr="00C027AA">
        <w:tc>
          <w:tcPr>
            <w:tcW w:w="2491" w:type="pct"/>
          </w:tcPr>
          <w:p w14:paraId="57136D3F"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Изменения со стороны кожи и подкожной клетчатки</w:t>
            </w:r>
          </w:p>
        </w:tc>
        <w:tc>
          <w:tcPr>
            <w:tcW w:w="2509" w:type="pct"/>
          </w:tcPr>
          <w:p w14:paraId="1F52DF75"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 xml:space="preserve">кожный васкулит, синдром </w:t>
            </w:r>
            <w:proofErr w:type="spellStart"/>
            <w:r w:rsidRPr="00C16AC0">
              <w:rPr>
                <w:rFonts w:ascii="Times New Roman" w:eastAsia="MS Mincho" w:hAnsi="Times New Roman"/>
                <w:sz w:val="28"/>
                <w:szCs w:val="28"/>
                <w:lang w:eastAsia="ja-JP" w:bidi="bo-CN"/>
              </w:rPr>
              <w:t>Стивенса</w:t>
            </w:r>
            <w:proofErr w:type="spellEnd"/>
            <w:r w:rsidRPr="00C16AC0">
              <w:rPr>
                <w:rFonts w:ascii="Times New Roman" w:eastAsia="MS Mincho" w:hAnsi="Times New Roman"/>
                <w:sz w:val="28"/>
                <w:szCs w:val="28"/>
                <w:lang w:eastAsia="ja-JP" w:bidi="bo-CN"/>
              </w:rPr>
              <w:t xml:space="preserve">-Джонсона, ангионевротический отёк, новые случаи или ухудшение течения псориаза (в том числе ладонно-подошвенного пустулезного псориаза), </w:t>
            </w:r>
            <w:proofErr w:type="spellStart"/>
            <w:r w:rsidRPr="00C16AC0">
              <w:rPr>
                <w:rFonts w:ascii="Times New Roman" w:eastAsia="MS Mincho" w:hAnsi="Times New Roman"/>
                <w:sz w:val="28"/>
                <w:szCs w:val="28"/>
                <w:lang w:eastAsia="ja-JP" w:bidi="bo-CN"/>
              </w:rPr>
              <w:t>мультиформная</w:t>
            </w:r>
            <w:proofErr w:type="spellEnd"/>
            <w:r w:rsidRPr="00C16AC0">
              <w:rPr>
                <w:rFonts w:ascii="Times New Roman" w:eastAsia="MS Mincho" w:hAnsi="Times New Roman"/>
                <w:sz w:val="28"/>
                <w:szCs w:val="28"/>
                <w:lang w:eastAsia="ja-JP" w:bidi="bo-CN"/>
              </w:rPr>
              <w:t xml:space="preserve"> эритема, алопеция</w:t>
            </w:r>
          </w:p>
        </w:tc>
      </w:tr>
      <w:tr w:rsidR="00161092" w:rsidRPr="00C16AC0" w14:paraId="57101B84" w14:textId="77777777" w:rsidTr="00C027AA">
        <w:tc>
          <w:tcPr>
            <w:tcW w:w="2491" w:type="pct"/>
          </w:tcPr>
          <w:p w14:paraId="1C221826"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Нарушения со стороны опорно-двигательной системы и соединительной ткани</w:t>
            </w:r>
          </w:p>
        </w:tc>
        <w:tc>
          <w:tcPr>
            <w:tcW w:w="2509" w:type="pct"/>
          </w:tcPr>
          <w:p w14:paraId="630522AC"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C16AC0">
              <w:rPr>
                <w:rFonts w:ascii="Times New Roman" w:eastAsia="MS Mincho" w:hAnsi="Times New Roman"/>
                <w:sz w:val="28"/>
                <w:szCs w:val="28"/>
                <w:lang w:eastAsia="ja-JP" w:bidi="bo-CN"/>
              </w:rPr>
              <w:t>волчаночноподобый</w:t>
            </w:r>
            <w:proofErr w:type="spellEnd"/>
            <w:r w:rsidRPr="00C16AC0">
              <w:rPr>
                <w:rFonts w:ascii="Times New Roman" w:eastAsia="MS Mincho" w:hAnsi="Times New Roman"/>
                <w:sz w:val="28"/>
                <w:szCs w:val="28"/>
                <w:lang w:eastAsia="ja-JP" w:bidi="bo-CN"/>
              </w:rPr>
              <w:t xml:space="preserve"> синдром</w:t>
            </w:r>
          </w:p>
        </w:tc>
      </w:tr>
      <w:tr w:rsidR="00161092" w:rsidRPr="00C16AC0" w14:paraId="7085C10B" w14:textId="77777777" w:rsidTr="00C027AA">
        <w:tc>
          <w:tcPr>
            <w:tcW w:w="2491" w:type="pct"/>
          </w:tcPr>
          <w:p w14:paraId="1FFC7A89"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Сердечно-сосудистые расстройства</w:t>
            </w:r>
          </w:p>
        </w:tc>
        <w:tc>
          <w:tcPr>
            <w:tcW w:w="2509" w:type="pct"/>
          </w:tcPr>
          <w:p w14:paraId="33F59C9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инфаркт миокарда</w:t>
            </w:r>
          </w:p>
        </w:tc>
      </w:tr>
      <w:tr w:rsidR="00161092" w:rsidRPr="00C16AC0" w14:paraId="55D32E84" w14:textId="77777777" w:rsidTr="00C027AA">
        <w:tc>
          <w:tcPr>
            <w:tcW w:w="2491" w:type="pct"/>
          </w:tcPr>
          <w:p w14:paraId="564BC1EC"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Общие расстройства и реакции в месте введения</w:t>
            </w:r>
          </w:p>
        </w:tc>
        <w:tc>
          <w:tcPr>
            <w:tcW w:w="2509" w:type="pct"/>
          </w:tcPr>
          <w:p w14:paraId="335B6F8C"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C16AC0">
              <w:rPr>
                <w:rFonts w:ascii="Times New Roman" w:eastAsia="MS Mincho" w:hAnsi="Times New Roman"/>
                <w:sz w:val="28"/>
                <w:szCs w:val="28"/>
                <w:lang w:eastAsia="ja-JP" w:bidi="bo-CN"/>
              </w:rPr>
              <w:t>пирексия</w:t>
            </w:r>
            <w:proofErr w:type="spellEnd"/>
          </w:p>
        </w:tc>
      </w:tr>
    </w:tbl>
    <w:p w14:paraId="21AC63EF"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p>
    <w:p w14:paraId="6D828377"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42FA5C8C" w14:textId="54245839"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РГП на ПХВ «Национальный Центр экспертизы лекарственных средств и медицинских изделий» Комитет</w:t>
      </w:r>
      <w:r w:rsidR="007258A3" w:rsidRPr="00C16AC0">
        <w:rPr>
          <w:rFonts w:ascii="Times New Roman" w:hAnsi="Times New Roman"/>
          <w:sz w:val="28"/>
          <w:szCs w:val="28"/>
          <w:lang w:val="ru-KZ"/>
        </w:rPr>
        <w:t xml:space="preserve"> медицинского и фармацевтического</w:t>
      </w:r>
      <w:r w:rsidRPr="00C16AC0">
        <w:rPr>
          <w:rFonts w:ascii="Times New Roman" w:hAnsi="Times New Roman"/>
          <w:sz w:val="28"/>
          <w:szCs w:val="28"/>
        </w:rPr>
        <w:t xml:space="preserve"> контроля Министерства здравоохранения Республики Казахстан</w:t>
      </w:r>
    </w:p>
    <w:p w14:paraId="19BD4B7E" w14:textId="77777777" w:rsidR="00161092" w:rsidRPr="00C16AC0" w:rsidRDefault="00157EBD" w:rsidP="00161092">
      <w:pPr>
        <w:spacing w:after="0" w:line="240" w:lineRule="auto"/>
        <w:jc w:val="both"/>
        <w:rPr>
          <w:rFonts w:ascii="Times New Roman" w:hAnsi="Times New Roman"/>
          <w:sz w:val="28"/>
          <w:szCs w:val="28"/>
          <w:u w:val="single"/>
        </w:rPr>
      </w:pPr>
      <w:hyperlink r:id="rId8" w:history="1">
        <w:r w:rsidR="00161092" w:rsidRPr="00C16AC0">
          <w:rPr>
            <w:rFonts w:ascii="Times New Roman" w:hAnsi="Times New Roman"/>
            <w:sz w:val="28"/>
            <w:szCs w:val="28"/>
            <w:u w:val="single"/>
            <w:lang w:val="en-US"/>
          </w:rPr>
          <w:t>http</w:t>
        </w:r>
        <w:r w:rsidR="00161092" w:rsidRPr="00C16AC0">
          <w:rPr>
            <w:rFonts w:ascii="Times New Roman" w:hAnsi="Times New Roman"/>
            <w:sz w:val="28"/>
            <w:szCs w:val="28"/>
            <w:u w:val="single"/>
          </w:rPr>
          <w:t>://</w:t>
        </w:r>
        <w:r w:rsidR="00161092" w:rsidRPr="00C16AC0">
          <w:rPr>
            <w:rFonts w:ascii="Times New Roman" w:hAnsi="Times New Roman"/>
            <w:sz w:val="28"/>
            <w:szCs w:val="28"/>
            <w:u w:val="single"/>
            <w:lang w:val="en-US"/>
          </w:rPr>
          <w:t>www</w:t>
        </w:r>
        <w:r w:rsidR="00161092" w:rsidRPr="00C16AC0">
          <w:rPr>
            <w:rFonts w:ascii="Times New Roman" w:hAnsi="Times New Roman"/>
            <w:sz w:val="28"/>
            <w:szCs w:val="28"/>
            <w:u w:val="single"/>
          </w:rPr>
          <w:t>.</w:t>
        </w:r>
        <w:proofErr w:type="spellStart"/>
        <w:r w:rsidR="00161092" w:rsidRPr="00C16AC0">
          <w:rPr>
            <w:rFonts w:ascii="Times New Roman" w:hAnsi="Times New Roman"/>
            <w:sz w:val="28"/>
            <w:szCs w:val="28"/>
            <w:u w:val="single"/>
            <w:lang w:val="en-US"/>
          </w:rPr>
          <w:t>ndda</w:t>
        </w:r>
        <w:proofErr w:type="spellEnd"/>
        <w:r w:rsidR="00161092" w:rsidRPr="00C16AC0">
          <w:rPr>
            <w:rFonts w:ascii="Times New Roman" w:hAnsi="Times New Roman"/>
            <w:sz w:val="28"/>
            <w:szCs w:val="28"/>
            <w:u w:val="single"/>
          </w:rPr>
          <w:t>.</w:t>
        </w:r>
        <w:proofErr w:type="spellStart"/>
        <w:r w:rsidR="00161092" w:rsidRPr="00C16AC0">
          <w:rPr>
            <w:rFonts w:ascii="Times New Roman" w:hAnsi="Times New Roman"/>
            <w:sz w:val="28"/>
            <w:szCs w:val="28"/>
            <w:u w:val="single"/>
            <w:lang w:val="en-US"/>
          </w:rPr>
          <w:t>kz</w:t>
        </w:r>
        <w:proofErr w:type="spellEnd"/>
      </w:hyperlink>
    </w:p>
    <w:p w14:paraId="0E05D214"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r w:rsidRPr="00C16AC0">
        <w:rPr>
          <w:rFonts w:ascii="Times New Roman" w:hAnsi="Times New Roman"/>
          <w:sz w:val="28"/>
          <w:szCs w:val="28"/>
          <w:lang w:bidi="ru-RU"/>
        </w:rPr>
        <w:t>Сообщая о нежелательных реакциях, вы помогаете получить больше сведений о безопасности ЛП.</w:t>
      </w:r>
    </w:p>
    <w:p w14:paraId="105910AD"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p>
    <w:p w14:paraId="43E1744B"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Дополнительные сведения</w:t>
      </w:r>
    </w:p>
    <w:p w14:paraId="3B374AF8"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bookmarkStart w:id="18" w:name="2175220285"/>
      <w:r w:rsidRPr="00C16AC0">
        <w:rPr>
          <w:rFonts w:ascii="Times New Roman" w:eastAsia="Times New Roman" w:hAnsi="Times New Roman"/>
          <w:b/>
          <w:i/>
          <w:sz w:val="28"/>
          <w:szCs w:val="28"/>
          <w:lang w:eastAsia="ru-RU"/>
        </w:rPr>
        <w:t xml:space="preserve">Состав лекарственного препарата </w:t>
      </w:r>
    </w:p>
    <w:bookmarkEnd w:id="18"/>
    <w:p w14:paraId="5343F13F" w14:textId="77777777" w:rsidR="00161092" w:rsidRPr="00C16AC0" w:rsidRDefault="00161092" w:rsidP="00161092">
      <w:pPr>
        <w:spacing w:after="0" w:line="240" w:lineRule="auto"/>
        <w:jc w:val="both"/>
        <w:rPr>
          <w:rFonts w:ascii="Times New Roman" w:eastAsia="Times New Roman" w:hAnsi="Times New Roman"/>
          <w:iCs/>
          <w:sz w:val="28"/>
          <w:szCs w:val="28"/>
          <w:lang w:eastAsia="ru-RU"/>
        </w:rPr>
      </w:pPr>
      <w:r w:rsidRPr="00C16AC0">
        <w:rPr>
          <w:rFonts w:ascii="Times New Roman" w:eastAsia="Times New Roman" w:hAnsi="Times New Roman"/>
          <w:sz w:val="28"/>
          <w:szCs w:val="28"/>
          <w:lang w:eastAsia="ru-RU"/>
        </w:rPr>
        <w:t>Один шприц содержит</w:t>
      </w:r>
    </w:p>
    <w:p w14:paraId="708ADFF7"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i/>
          <w:sz w:val="28"/>
          <w:szCs w:val="28"/>
          <w:lang w:eastAsia="ru-RU"/>
        </w:rPr>
      </w:pPr>
      <w:r w:rsidRPr="00C16AC0">
        <w:rPr>
          <w:rFonts w:ascii="Times New Roman" w:eastAsia="Times New Roman" w:hAnsi="Times New Roman"/>
          <w:i/>
          <w:sz w:val="28"/>
          <w:szCs w:val="28"/>
          <w:lang w:eastAsia="ru-RU"/>
        </w:rPr>
        <w:t xml:space="preserve">активное вещество - </w:t>
      </w:r>
      <w:proofErr w:type="spellStart"/>
      <w:r w:rsidRPr="00C16AC0">
        <w:rPr>
          <w:rFonts w:ascii="Times New Roman" w:eastAsia="Times New Roman" w:hAnsi="Times New Roman"/>
          <w:iCs/>
          <w:sz w:val="28"/>
          <w:szCs w:val="28"/>
          <w:lang w:eastAsia="ru-RU"/>
        </w:rPr>
        <w:t>адалимумаб</w:t>
      </w:r>
      <w:proofErr w:type="spellEnd"/>
      <w:r w:rsidRPr="00C16AC0">
        <w:rPr>
          <w:rFonts w:ascii="Times New Roman" w:eastAsia="Times New Roman" w:hAnsi="Times New Roman"/>
          <w:iCs/>
          <w:sz w:val="28"/>
          <w:szCs w:val="28"/>
          <w:lang w:eastAsia="ru-RU"/>
        </w:rPr>
        <w:t xml:space="preserve"> 40 мг,</w:t>
      </w:r>
    </w:p>
    <w:p w14:paraId="1ABEFE05"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r w:rsidRPr="00C16AC0">
        <w:rPr>
          <w:rFonts w:ascii="Times New Roman" w:eastAsia="Times New Roman" w:hAnsi="Times New Roman"/>
          <w:i/>
          <w:sz w:val="28"/>
          <w:szCs w:val="28"/>
          <w:lang w:eastAsia="ru-RU"/>
        </w:rPr>
        <w:t xml:space="preserve">вспомогательные вещества: </w:t>
      </w:r>
      <w:r w:rsidRPr="00C16AC0">
        <w:rPr>
          <w:rFonts w:ascii="Times New Roman" w:eastAsia="Times New Roman" w:hAnsi="Times New Roman"/>
          <w:iCs/>
          <w:sz w:val="28"/>
          <w:szCs w:val="28"/>
          <w:lang w:eastAsia="ru-RU"/>
        </w:rPr>
        <w:t xml:space="preserve">натрия хлорид, натрия </w:t>
      </w:r>
      <w:proofErr w:type="spellStart"/>
      <w:r w:rsidRPr="00C16AC0">
        <w:rPr>
          <w:rFonts w:ascii="Times New Roman" w:eastAsia="Times New Roman" w:hAnsi="Times New Roman"/>
          <w:iCs/>
          <w:sz w:val="28"/>
          <w:szCs w:val="28"/>
          <w:lang w:eastAsia="ru-RU"/>
        </w:rPr>
        <w:t>дигидрофосфата</w:t>
      </w:r>
      <w:proofErr w:type="spellEnd"/>
      <w:r w:rsidRPr="00C16AC0">
        <w:rPr>
          <w:rFonts w:ascii="Times New Roman" w:eastAsia="Times New Roman" w:hAnsi="Times New Roman"/>
          <w:iCs/>
          <w:sz w:val="28"/>
          <w:szCs w:val="28"/>
          <w:lang w:eastAsia="ru-RU"/>
        </w:rPr>
        <w:t xml:space="preserve"> дигидрат, </w:t>
      </w:r>
      <w:proofErr w:type="spellStart"/>
      <w:r w:rsidRPr="00C16AC0">
        <w:rPr>
          <w:rFonts w:ascii="Times New Roman" w:eastAsia="Times New Roman" w:hAnsi="Times New Roman"/>
          <w:iCs/>
          <w:sz w:val="28"/>
          <w:szCs w:val="28"/>
          <w:lang w:eastAsia="ru-RU"/>
        </w:rPr>
        <w:t>динатрия</w:t>
      </w:r>
      <w:proofErr w:type="spellEnd"/>
      <w:r w:rsidRPr="00C16AC0">
        <w:rPr>
          <w:rFonts w:ascii="Times New Roman" w:eastAsia="Times New Roman" w:hAnsi="Times New Roman"/>
          <w:iCs/>
          <w:sz w:val="28"/>
          <w:szCs w:val="28"/>
          <w:lang w:eastAsia="ru-RU"/>
        </w:rPr>
        <w:t xml:space="preserve"> </w:t>
      </w:r>
      <w:proofErr w:type="spellStart"/>
      <w:r w:rsidRPr="00C16AC0">
        <w:rPr>
          <w:rFonts w:ascii="Times New Roman" w:eastAsia="Times New Roman" w:hAnsi="Times New Roman"/>
          <w:iCs/>
          <w:sz w:val="28"/>
          <w:szCs w:val="28"/>
          <w:lang w:eastAsia="ru-RU"/>
        </w:rPr>
        <w:t>гидрофосфата</w:t>
      </w:r>
      <w:proofErr w:type="spellEnd"/>
      <w:r w:rsidRPr="00C16AC0">
        <w:rPr>
          <w:rFonts w:ascii="Times New Roman" w:eastAsia="Times New Roman" w:hAnsi="Times New Roman"/>
          <w:iCs/>
          <w:sz w:val="28"/>
          <w:szCs w:val="28"/>
          <w:lang w:eastAsia="ru-RU"/>
        </w:rPr>
        <w:t xml:space="preserve"> дигидрат, кислоты лимонной моногидрат, </w:t>
      </w:r>
      <w:r w:rsidR="00A314FC" w:rsidRPr="00C16AC0">
        <w:rPr>
          <w:rFonts w:ascii="Times New Roman" w:eastAsia="Times New Roman" w:hAnsi="Times New Roman"/>
          <w:iCs/>
          <w:sz w:val="28"/>
          <w:szCs w:val="28"/>
          <w:lang w:eastAsia="ru-RU"/>
        </w:rPr>
        <w:t>натрия цитрата дигидрат</w:t>
      </w:r>
      <w:r w:rsidRPr="00C16AC0">
        <w:rPr>
          <w:rFonts w:ascii="Times New Roman" w:eastAsia="Times New Roman" w:hAnsi="Times New Roman"/>
          <w:iCs/>
          <w:sz w:val="28"/>
          <w:szCs w:val="28"/>
          <w:lang w:eastAsia="ru-RU"/>
        </w:rPr>
        <w:t>, полисорбат-80, маннитол, вода для инъекций.</w:t>
      </w:r>
    </w:p>
    <w:p w14:paraId="2C23BFE3"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Описание внешнего вида, запаха, вкуса</w:t>
      </w:r>
    </w:p>
    <w:p w14:paraId="72853889"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color w:val="000000"/>
          <w:sz w:val="28"/>
          <w:szCs w:val="28"/>
          <w:lang w:eastAsia="hu-HU" w:bidi="ru-RU"/>
        </w:rPr>
      </w:pPr>
      <w:r w:rsidRPr="00C16AC0">
        <w:rPr>
          <w:rFonts w:ascii="Times New Roman" w:eastAsia="Times New Roman" w:hAnsi="Times New Roman"/>
          <w:color w:val="000000"/>
          <w:sz w:val="28"/>
          <w:szCs w:val="28"/>
          <w:lang w:eastAsia="hu-HU" w:bidi="ru-RU"/>
        </w:rPr>
        <w:t>Прозрачный, почти бесцветный раствор</w:t>
      </w:r>
      <w:r w:rsidRPr="00C16AC0">
        <w:rPr>
          <w:rFonts w:ascii="Times New Roman" w:hAnsi="Times New Roman"/>
          <w:sz w:val="28"/>
          <w:szCs w:val="28"/>
        </w:rPr>
        <w:t>, практически свободный от видимых частиц.</w:t>
      </w:r>
    </w:p>
    <w:p w14:paraId="7BD6CE23"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7AAF03FB"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Форма выпуска и упаковка</w:t>
      </w:r>
    </w:p>
    <w:p w14:paraId="2738AA59" w14:textId="47734FF1" w:rsidR="00CA4C0A" w:rsidRPr="00C16AC0" w:rsidRDefault="00CA4C0A" w:rsidP="00CA4C0A">
      <w:pPr>
        <w:widowControl w:val="0"/>
        <w:autoSpaceDE w:val="0"/>
        <w:autoSpaceDN w:val="0"/>
        <w:spacing w:after="0" w:line="240" w:lineRule="auto"/>
        <w:jc w:val="both"/>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lastRenderedPageBreak/>
        <w:t xml:space="preserve">По 0.8 мл препарата в шприцах для одноразового использования из прозрачного бесцветного стекла (тип I), снабженных иглой из нержавеющей стали, закрытой </w:t>
      </w:r>
      <w:r w:rsidR="0010629F" w:rsidRPr="00C16AC0">
        <w:rPr>
          <w:rFonts w:ascii="Times New Roman" w:eastAsia="Times New Roman" w:hAnsi="Times New Roman"/>
          <w:snapToGrid w:val="0"/>
          <w:sz w:val="28"/>
          <w:szCs w:val="28"/>
          <w:lang w:val="ru-KZ" w:eastAsia="ru-RU"/>
        </w:rPr>
        <w:t>защитным</w:t>
      </w:r>
      <w:r w:rsidRPr="00C16AC0">
        <w:rPr>
          <w:rFonts w:ascii="Times New Roman" w:eastAsia="Times New Roman" w:hAnsi="Times New Roman"/>
          <w:snapToGrid w:val="0"/>
          <w:sz w:val="28"/>
          <w:szCs w:val="28"/>
          <w:lang w:eastAsia="ru-RU"/>
        </w:rPr>
        <w:t xml:space="preserve"> колпачком, пластиковым упором для пальцев и шток-поршнем с резиновым уплотнителем.</w:t>
      </w:r>
    </w:p>
    <w:p w14:paraId="43EBDD0B" w14:textId="71C947EF" w:rsidR="00CA4C0A" w:rsidRPr="00C16AC0" w:rsidRDefault="00CA4C0A" w:rsidP="00CA4C0A">
      <w:pPr>
        <w:spacing w:after="0" w:line="240" w:lineRule="auto"/>
        <w:jc w:val="both"/>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По 2 шприца вместе с инструкцией по медицинскому применению на казахском и русском языках помещают в картонную пачку, оснащенную держателем-разделителем из картона для фиксации шприцев внутри пачки.</w:t>
      </w:r>
    </w:p>
    <w:p w14:paraId="49D55425" w14:textId="77777777" w:rsidR="000D2DE0" w:rsidRPr="00C16AC0" w:rsidRDefault="000D2DE0" w:rsidP="000D2DE0">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sz w:val="28"/>
          <w:szCs w:val="28"/>
          <w:lang w:eastAsia="ru-RU"/>
        </w:rPr>
        <w:t>Каждая пачка для контроля первого вскрытия запечатана стикером с голограммой.</w:t>
      </w:r>
    </w:p>
    <w:p w14:paraId="4A8BB820"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6D238840"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 xml:space="preserve">Срок хранения </w:t>
      </w:r>
    </w:p>
    <w:p w14:paraId="072EFD48"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r w:rsidRPr="00C16AC0">
        <w:rPr>
          <w:rFonts w:ascii="Times New Roman" w:eastAsia="Times New Roman" w:hAnsi="Times New Roman"/>
          <w:sz w:val="28"/>
          <w:szCs w:val="28"/>
          <w:lang w:eastAsia="ru-RU"/>
        </w:rPr>
        <w:t xml:space="preserve">2 года. </w:t>
      </w:r>
    </w:p>
    <w:p w14:paraId="30B77AB7"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r w:rsidRPr="00C16AC0">
        <w:rPr>
          <w:rFonts w:ascii="Times New Roman" w:eastAsia="Times New Roman" w:hAnsi="Times New Roman"/>
          <w:sz w:val="28"/>
          <w:szCs w:val="28"/>
          <w:lang w:eastAsia="ru-RU"/>
        </w:rPr>
        <w:t>Не применять по истечении срока годности!</w:t>
      </w:r>
    </w:p>
    <w:p w14:paraId="09EB83D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Условия хранения</w:t>
      </w:r>
    </w:p>
    <w:p w14:paraId="2B2E96C5"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Хранить в защищенном от света месте, при температуре от 2 °С до 8 °С. </w:t>
      </w:r>
    </w:p>
    <w:p w14:paraId="355AC31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Не замораживать!</w:t>
      </w:r>
      <w:r w:rsidRPr="00C16AC0">
        <w:rPr>
          <w:rFonts w:ascii="Times New Roman" w:eastAsia="Batang" w:hAnsi="Times New Roman"/>
          <w:sz w:val="28"/>
          <w:szCs w:val="28"/>
        </w:rPr>
        <w:t xml:space="preserve"> </w:t>
      </w:r>
    </w:p>
    <w:p w14:paraId="75FBBDD8" w14:textId="77777777" w:rsidR="00161092" w:rsidRPr="00C16AC0" w:rsidRDefault="00161092" w:rsidP="00161092">
      <w:pPr>
        <w:spacing w:after="0" w:line="240" w:lineRule="auto"/>
        <w:jc w:val="both"/>
        <w:rPr>
          <w:rFonts w:ascii="Times New Roman" w:hAnsi="Times New Roman"/>
          <w:sz w:val="28"/>
          <w:szCs w:val="28"/>
          <w:lang w:val="kk-KZ"/>
        </w:rPr>
      </w:pPr>
      <w:r w:rsidRPr="00C16AC0">
        <w:rPr>
          <w:rFonts w:ascii="Times New Roman" w:hAnsi="Times New Roman"/>
          <w:sz w:val="28"/>
          <w:szCs w:val="28"/>
        </w:rPr>
        <w:t xml:space="preserve">Хранить в недоступном для детей месте! </w:t>
      </w:r>
    </w:p>
    <w:p w14:paraId="55AEFBE8" w14:textId="77777777" w:rsidR="00161092" w:rsidRPr="00C16AC0" w:rsidRDefault="00161092" w:rsidP="00161092">
      <w:pPr>
        <w:spacing w:after="0" w:line="240" w:lineRule="auto"/>
        <w:jc w:val="both"/>
        <w:rPr>
          <w:rFonts w:ascii="Times New Roman" w:hAnsi="Times New Roman"/>
          <w:b/>
          <w:sz w:val="28"/>
          <w:szCs w:val="28"/>
        </w:rPr>
      </w:pPr>
    </w:p>
    <w:p w14:paraId="3502D79C" w14:textId="77777777" w:rsidR="00161092" w:rsidRPr="00C16AC0" w:rsidRDefault="00161092" w:rsidP="00161092">
      <w:pPr>
        <w:spacing w:after="0" w:line="240" w:lineRule="auto"/>
        <w:jc w:val="both"/>
        <w:rPr>
          <w:rFonts w:ascii="Times New Roman" w:hAnsi="Times New Roman"/>
          <w:b/>
          <w:color w:val="FF0000"/>
          <w:sz w:val="28"/>
          <w:szCs w:val="28"/>
        </w:rPr>
      </w:pPr>
      <w:r w:rsidRPr="00C16AC0">
        <w:rPr>
          <w:rFonts w:ascii="Times New Roman" w:hAnsi="Times New Roman"/>
          <w:b/>
          <w:sz w:val="28"/>
          <w:szCs w:val="28"/>
        </w:rPr>
        <w:t xml:space="preserve">Условия отпуска из аптек </w:t>
      </w:r>
    </w:p>
    <w:p w14:paraId="49165DD4"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По рецепту</w:t>
      </w:r>
    </w:p>
    <w:p w14:paraId="7A1A65E7"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61C45197"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 xml:space="preserve">Сведения о производителе </w:t>
      </w:r>
    </w:p>
    <w:p w14:paraId="437B05AA" w14:textId="77777777" w:rsidR="00161092" w:rsidRPr="00C16AC0" w:rsidRDefault="00161092" w:rsidP="00161092">
      <w:pPr>
        <w:tabs>
          <w:tab w:val="left" w:pos="567"/>
        </w:tabs>
        <w:spacing w:after="0" w:line="240" w:lineRule="auto"/>
        <w:rPr>
          <w:rFonts w:ascii="Times New Roman" w:eastAsia="Times New Roman" w:hAnsi="Times New Roman"/>
          <w:b/>
          <w:bCs/>
          <w:spacing w:val="-10"/>
          <w:sz w:val="28"/>
          <w:szCs w:val="28"/>
          <w:lang w:eastAsia="ar-SA"/>
        </w:rPr>
      </w:pPr>
      <w:proofErr w:type="spellStart"/>
      <w:r w:rsidRPr="00C16AC0">
        <w:rPr>
          <w:rFonts w:ascii="Times New Roman" w:eastAsia="MS Mincho" w:hAnsi="Times New Roman"/>
          <w:sz w:val="28"/>
          <w:szCs w:val="28"/>
          <w:lang w:eastAsia="ja-JP"/>
        </w:rPr>
        <w:t>СиннаЖен</w:t>
      </w:r>
      <w:proofErr w:type="spellEnd"/>
      <w:r w:rsidRPr="00C16AC0">
        <w:rPr>
          <w:rFonts w:ascii="Times New Roman" w:eastAsia="MS Mincho" w:hAnsi="Times New Roman"/>
          <w:sz w:val="28"/>
          <w:szCs w:val="28"/>
          <w:lang w:eastAsia="ja-JP"/>
        </w:rPr>
        <w:t xml:space="preserve"> Ко.,</w:t>
      </w:r>
      <w:r w:rsidR="000D6BA4" w:rsidRPr="00C16AC0">
        <w:rPr>
          <w:rFonts w:ascii="Times New Roman" w:eastAsia="MS Mincho" w:hAnsi="Times New Roman"/>
          <w:sz w:val="28"/>
          <w:szCs w:val="28"/>
          <w:lang w:eastAsia="ja-JP"/>
        </w:rPr>
        <w:t xml:space="preserve"> Карадж,</w:t>
      </w:r>
      <w:r w:rsidRPr="00C16AC0">
        <w:rPr>
          <w:rFonts w:ascii="Times New Roman" w:eastAsia="MS Mincho" w:hAnsi="Times New Roman"/>
          <w:sz w:val="28"/>
          <w:szCs w:val="28"/>
          <w:lang w:eastAsia="ja-JP"/>
        </w:rPr>
        <w:t xml:space="preserve"> Альборз, Исламская Республика Иран</w:t>
      </w:r>
    </w:p>
    <w:p w14:paraId="6195359B"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val="uk-UA" w:eastAsia="ru-RU"/>
        </w:rPr>
      </w:pPr>
    </w:p>
    <w:p w14:paraId="343655E6"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val="uk-UA" w:eastAsia="ru-RU"/>
        </w:rPr>
      </w:pPr>
      <w:r w:rsidRPr="00C16AC0">
        <w:rPr>
          <w:rFonts w:ascii="Times New Roman" w:eastAsia="Times New Roman" w:hAnsi="Times New Roman"/>
          <w:b/>
          <w:sz w:val="28"/>
          <w:szCs w:val="28"/>
          <w:lang w:val="uk-UA" w:eastAsia="ru-RU"/>
        </w:rPr>
        <w:t xml:space="preserve">Держатель </w:t>
      </w:r>
      <w:proofErr w:type="spellStart"/>
      <w:r w:rsidRPr="00C16AC0">
        <w:rPr>
          <w:rFonts w:ascii="Times New Roman" w:eastAsia="Times New Roman" w:hAnsi="Times New Roman"/>
          <w:b/>
          <w:sz w:val="28"/>
          <w:szCs w:val="28"/>
          <w:lang w:val="uk-UA" w:eastAsia="ru-RU"/>
        </w:rPr>
        <w:t>регистрационного</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удостоверения</w:t>
      </w:r>
      <w:proofErr w:type="spellEnd"/>
    </w:p>
    <w:p w14:paraId="238A232F" w14:textId="77777777" w:rsidR="00CA4C0A" w:rsidRPr="00C16AC0" w:rsidRDefault="00CA4C0A" w:rsidP="00CA4C0A">
      <w:pPr>
        <w:autoSpaceDE w:val="0"/>
        <w:autoSpaceDN w:val="0"/>
        <w:spacing w:after="0" w:line="240" w:lineRule="auto"/>
        <w:jc w:val="both"/>
        <w:rPr>
          <w:rFonts w:ascii="Times New Roman" w:eastAsia="Times New Roman" w:hAnsi="Times New Roman"/>
          <w:bCs/>
          <w:sz w:val="28"/>
          <w:szCs w:val="28"/>
          <w:lang w:val="uk-UA" w:eastAsia="ru-RU"/>
        </w:rPr>
      </w:pPr>
      <w:proofErr w:type="spellStart"/>
      <w:r w:rsidRPr="00C16AC0">
        <w:rPr>
          <w:rFonts w:ascii="Times New Roman" w:eastAsia="Times New Roman" w:hAnsi="Times New Roman"/>
          <w:bCs/>
          <w:sz w:val="28"/>
          <w:szCs w:val="28"/>
          <w:lang w:val="uk-UA" w:eastAsia="ru-RU"/>
        </w:rPr>
        <w:t>СиннаЖен</w:t>
      </w:r>
      <w:proofErr w:type="spellEnd"/>
      <w:r w:rsidRPr="00C16AC0">
        <w:rPr>
          <w:rFonts w:ascii="Times New Roman" w:eastAsia="Times New Roman" w:hAnsi="Times New Roman"/>
          <w:bCs/>
          <w:sz w:val="28"/>
          <w:szCs w:val="28"/>
          <w:lang w:val="uk-UA" w:eastAsia="ru-RU"/>
        </w:rPr>
        <w:t xml:space="preserve"> Ко., </w:t>
      </w:r>
      <w:proofErr w:type="spellStart"/>
      <w:r w:rsidRPr="00C16AC0">
        <w:rPr>
          <w:rFonts w:ascii="Times New Roman" w:eastAsia="Times New Roman" w:hAnsi="Times New Roman"/>
          <w:bCs/>
          <w:sz w:val="28"/>
          <w:szCs w:val="28"/>
          <w:lang w:val="uk-UA" w:eastAsia="ru-RU"/>
        </w:rPr>
        <w:t>Исламская</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Республика</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Иран</w:t>
      </w:r>
      <w:proofErr w:type="spellEnd"/>
    </w:p>
    <w:p w14:paraId="0574989F" w14:textId="77777777" w:rsidR="00CA4C0A" w:rsidRPr="00C16AC0" w:rsidRDefault="00CA4C0A" w:rsidP="00CA4C0A">
      <w:pPr>
        <w:autoSpaceDE w:val="0"/>
        <w:autoSpaceDN w:val="0"/>
        <w:spacing w:after="0" w:line="240" w:lineRule="auto"/>
        <w:jc w:val="both"/>
        <w:rPr>
          <w:rFonts w:ascii="Times New Roman" w:eastAsia="Times New Roman" w:hAnsi="Times New Roman"/>
          <w:bCs/>
          <w:sz w:val="28"/>
          <w:szCs w:val="28"/>
          <w:lang w:val="uk-UA" w:eastAsia="ru-RU"/>
        </w:rPr>
      </w:pPr>
      <w:r w:rsidRPr="00C16AC0">
        <w:rPr>
          <w:rFonts w:ascii="Times New Roman" w:eastAsia="Times New Roman" w:hAnsi="Times New Roman"/>
          <w:bCs/>
          <w:sz w:val="28"/>
          <w:szCs w:val="28"/>
          <w:lang w:val="uk-UA" w:eastAsia="ru-RU"/>
        </w:rPr>
        <w:t xml:space="preserve">3rd </w:t>
      </w:r>
      <w:proofErr w:type="spellStart"/>
      <w:r w:rsidRPr="00C16AC0">
        <w:rPr>
          <w:rFonts w:ascii="Times New Roman" w:eastAsia="Times New Roman" w:hAnsi="Times New Roman"/>
          <w:bCs/>
          <w:sz w:val="28"/>
          <w:szCs w:val="28"/>
          <w:lang w:val="uk-UA" w:eastAsia="ru-RU"/>
        </w:rPr>
        <w:t>Sq</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Simin</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Dasht</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Industrial</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Area</w:t>
      </w:r>
      <w:proofErr w:type="spellEnd"/>
      <w:r w:rsidRPr="00C16AC0">
        <w:rPr>
          <w:rFonts w:ascii="Times New Roman" w:eastAsia="Times New Roman" w:hAnsi="Times New Roman"/>
          <w:bCs/>
          <w:sz w:val="28"/>
          <w:szCs w:val="28"/>
          <w:lang w:val="uk-UA" w:eastAsia="ru-RU"/>
        </w:rPr>
        <w:t>,</w:t>
      </w:r>
      <w:r w:rsidRPr="00C16AC0">
        <w:rPr>
          <w:sz w:val="28"/>
          <w:szCs w:val="28"/>
          <w:lang w:val="uk-UA"/>
        </w:rPr>
        <w:t xml:space="preserve"> </w:t>
      </w:r>
      <w:proofErr w:type="spellStart"/>
      <w:r w:rsidRPr="00C16AC0">
        <w:rPr>
          <w:rFonts w:ascii="Times New Roman" w:eastAsia="Times New Roman" w:hAnsi="Times New Roman"/>
          <w:bCs/>
          <w:sz w:val="28"/>
          <w:szCs w:val="28"/>
          <w:lang w:val="uk-UA" w:eastAsia="ru-RU"/>
        </w:rPr>
        <w:t>Карадж</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Альборз</w:t>
      </w:r>
      <w:proofErr w:type="spellEnd"/>
    </w:p>
    <w:p w14:paraId="650FB75E" w14:textId="77777777" w:rsidR="00CA4C0A" w:rsidRPr="00C16AC0" w:rsidRDefault="00CA4C0A" w:rsidP="00CA4C0A">
      <w:pPr>
        <w:spacing w:after="0" w:line="240" w:lineRule="auto"/>
        <w:jc w:val="both"/>
        <w:rPr>
          <w:rFonts w:ascii="Times New Roman" w:hAnsi="Times New Roman"/>
          <w:color w:val="000000"/>
          <w:sz w:val="28"/>
          <w:szCs w:val="28"/>
          <w:lang w:val="kk-KZ"/>
        </w:rPr>
      </w:pPr>
      <w:bookmarkStart w:id="19" w:name="_Hlk47617876"/>
      <w:r w:rsidRPr="00C16AC0">
        <w:rPr>
          <w:rFonts w:ascii="Times New Roman" w:hAnsi="Times New Roman"/>
          <w:color w:val="000000"/>
          <w:sz w:val="28"/>
          <w:szCs w:val="28"/>
          <w:lang w:val="kk-KZ"/>
        </w:rPr>
        <w:t xml:space="preserve">Тел.: </w:t>
      </w:r>
      <w:r w:rsidRPr="00C16AC0">
        <w:rPr>
          <w:rFonts w:ascii="Times New Roman" w:eastAsia="Times New Roman" w:hAnsi="Times New Roman"/>
          <w:sz w:val="28"/>
          <w:szCs w:val="28"/>
          <w:lang w:val="en-US" w:eastAsia="ru-RU"/>
        </w:rPr>
        <w:t>+98-263-6670334</w:t>
      </w:r>
    </w:p>
    <w:p w14:paraId="26FA866A" w14:textId="77777777" w:rsidR="00CA4C0A" w:rsidRPr="00C16AC0" w:rsidRDefault="00CA4C0A" w:rsidP="00CA4C0A">
      <w:pPr>
        <w:spacing w:after="0" w:line="240" w:lineRule="auto"/>
        <w:rPr>
          <w:rFonts w:eastAsia="Times New Roman"/>
          <w:sz w:val="28"/>
          <w:szCs w:val="28"/>
          <w:lang w:val="en-US" w:eastAsia="ru-RU"/>
        </w:rPr>
      </w:pPr>
      <w:r w:rsidRPr="00C16AC0">
        <w:rPr>
          <w:rFonts w:ascii="Times New Roman" w:hAnsi="Times New Roman"/>
          <w:color w:val="000000"/>
          <w:sz w:val="28"/>
          <w:szCs w:val="28"/>
          <w:lang w:val="kk-KZ"/>
        </w:rPr>
        <w:t xml:space="preserve"> </w:t>
      </w:r>
      <w:r w:rsidRPr="00C16AC0">
        <w:rPr>
          <w:rFonts w:ascii="Times New Roman" w:hAnsi="Times New Roman"/>
          <w:sz w:val="28"/>
          <w:szCs w:val="28"/>
          <w:lang w:val="en-US"/>
        </w:rPr>
        <w:t>E-mail:</w:t>
      </w:r>
      <w:r w:rsidRPr="00C16AC0">
        <w:rPr>
          <w:rFonts w:ascii="Times New Roman" w:hAnsi="Times New Roman"/>
          <w:color w:val="000000"/>
          <w:sz w:val="28"/>
          <w:szCs w:val="28"/>
          <w:lang w:val="kk-KZ"/>
        </w:rPr>
        <w:t xml:space="preserve"> </w:t>
      </w:r>
      <w:r w:rsidRPr="00C16AC0">
        <w:rPr>
          <w:rFonts w:ascii="Times New Roman" w:eastAsia="Times New Roman" w:hAnsi="Times New Roman"/>
          <w:sz w:val="28"/>
          <w:szCs w:val="28"/>
          <w:lang w:val="en-US" w:eastAsia="ru-RU"/>
        </w:rPr>
        <w:t>cinnagen@cinnagen.com</w:t>
      </w:r>
      <w:bookmarkEnd w:id="19"/>
    </w:p>
    <w:p w14:paraId="74034E3F" w14:textId="77777777" w:rsidR="00417BB3" w:rsidRPr="00C16AC0" w:rsidRDefault="00417BB3" w:rsidP="00417BB3">
      <w:pPr>
        <w:autoSpaceDE w:val="0"/>
        <w:autoSpaceDN w:val="0"/>
        <w:spacing w:after="0" w:line="240" w:lineRule="auto"/>
        <w:jc w:val="both"/>
        <w:rPr>
          <w:rFonts w:ascii="Times New Roman" w:hAnsi="Times New Roman"/>
          <w:color w:val="000000"/>
          <w:sz w:val="28"/>
          <w:szCs w:val="28"/>
          <w:lang w:val="uk-UA"/>
        </w:rPr>
      </w:pPr>
    </w:p>
    <w:p w14:paraId="3DDDBA80"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eastAsia="ru-RU"/>
        </w:rPr>
      </w:pPr>
      <w:proofErr w:type="spellStart"/>
      <w:r w:rsidRPr="00C16AC0">
        <w:rPr>
          <w:rFonts w:ascii="Times New Roman" w:eastAsia="Times New Roman" w:hAnsi="Times New Roman"/>
          <w:b/>
          <w:sz w:val="28"/>
          <w:szCs w:val="28"/>
          <w:lang w:val="uk-UA" w:eastAsia="ru-RU"/>
        </w:rPr>
        <w:t>Наименование</w:t>
      </w:r>
      <w:proofErr w:type="spellEnd"/>
      <w:r w:rsidRPr="00C16AC0">
        <w:rPr>
          <w:rFonts w:ascii="Times New Roman" w:eastAsia="Times New Roman" w:hAnsi="Times New Roman"/>
          <w:b/>
          <w:sz w:val="28"/>
          <w:szCs w:val="28"/>
          <w:lang w:val="uk-UA" w:eastAsia="ru-RU"/>
        </w:rPr>
        <w:t xml:space="preserve">, адрес и </w:t>
      </w:r>
      <w:proofErr w:type="spellStart"/>
      <w:r w:rsidRPr="00C16AC0">
        <w:rPr>
          <w:rFonts w:ascii="Times New Roman" w:eastAsia="Times New Roman" w:hAnsi="Times New Roman"/>
          <w:b/>
          <w:sz w:val="28"/>
          <w:szCs w:val="28"/>
          <w:lang w:val="uk-UA" w:eastAsia="ru-RU"/>
        </w:rPr>
        <w:t>контактные</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данные</w:t>
      </w:r>
      <w:proofErr w:type="spellEnd"/>
      <w:r w:rsidRPr="00C16AC0">
        <w:rPr>
          <w:rFonts w:ascii="Times New Roman" w:eastAsia="Times New Roman" w:hAnsi="Times New Roman"/>
          <w:b/>
          <w:sz w:val="28"/>
          <w:szCs w:val="28"/>
          <w:lang w:val="uk-UA" w:eastAsia="ru-RU"/>
        </w:rPr>
        <w:t xml:space="preserve"> (телефон, факс, </w:t>
      </w:r>
      <w:proofErr w:type="spellStart"/>
      <w:r w:rsidRPr="00C16AC0">
        <w:rPr>
          <w:rFonts w:ascii="Times New Roman" w:eastAsia="Times New Roman" w:hAnsi="Times New Roman"/>
          <w:b/>
          <w:sz w:val="28"/>
          <w:szCs w:val="28"/>
          <w:lang w:val="uk-UA" w:eastAsia="ru-RU"/>
        </w:rPr>
        <w:t>электронная</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почта</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организации</w:t>
      </w:r>
      <w:proofErr w:type="spellEnd"/>
      <w:r w:rsidRPr="00C16AC0">
        <w:rPr>
          <w:rFonts w:ascii="Times New Roman" w:eastAsia="Times New Roman" w:hAnsi="Times New Roman"/>
          <w:b/>
          <w:sz w:val="28"/>
          <w:szCs w:val="28"/>
          <w:lang w:eastAsia="ru-RU"/>
        </w:rPr>
        <w:t xml:space="preserve">, на территории Республики Казахстан, принимающей претензии </w:t>
      </w:r>
      <w:r w:rsidRPr="00C16AC0">
        <w:rPr>
          <w:rFonts w:ascii="Times New Roman" w:hAnsi="Times New Roman"/>
          <w:b/>
          <w:color w:val="000000"/>
          <w:sz w:val="28"/>
          <w:szCs w:val="28"/>
        </w:rPr>
        <w:t>(предложения) по качеству лекарственных средств от потребителей</w:t>
      </w:r>
      <w:r w:rsidRPr="00C16AC0">
        <w:rPr>
          <w:rFonts w:ascii="Times New Roman" w:eastAsia="Times New Roman" w:hAnsi="Times New Roman"/>
          <w:b/>
          <w:sz w:val="28"/>
          <w:szCs w:val="28"/>
          <w:lang w:eastAsia="ru-RU"/>
        </w:rPr>
        <w:t xml:space="preserve"> и ответственной за пострегистрационное наблюдение за безопасностью лекарственного средства</w:t>
      </w:r>
    </w:p>
    <w:p w14:paraId="7E48A4D3"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ТОО «</w:t>
      </w:r>
      <w:proofErr w:type="spellStart"/>
      <w:r w:rsidRPr="00C16AC0">
        <w:rPr>
          <w:rFonts w:ascii="Times New Roman" w:eastAsia="Times New Roman" w:hAnsi="Times New Roman"/>
          <w:bCs/>
          <w:sz w:val="28"/>
          <w:szCs w:val="28"/>
          <w:lang w:eastAsia="ru-RU"/>
        </w:rPr>
        <w:t>Saa</w:t>
      </w:r>
      <w:proofErr w:type="spellEnd"/>
      <w:r w:rsidRPr="00C16AC0">
        <w:rPr>
          <w:rFonts w:ascii="Times New Roman" w:eastAsia="Times New Roman" w:hAnsi="Times New Roman"/>
          <w:bCs/>
          <w:sz w:val="28"/>
          <w:szCs w:val="28"/>
          <w:lang w:eastAsia="ru-RU"/>
        </w:rPr>
        <w:t xml:space="preserve"> Pharma»</w:t>
      </w:r>
    </w:p>
    <w:p w14:paraId="43E83B2C"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050010, г. Алматы, пр. Достык, 38, оф. № 705, Бизнес центр KDC</w:t>
      </w:r>
    </w:p>
    <w:p w14:paraId="3F32DF07"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тел.: + 7 (727) 345 10 11, моб.: +7 (701) 922-60-63,</w:t>
      </w:r>
      <w:r w:rsidRPr="00C16AC0">
        <w:rPr>
          <w:rFonts w:ascii="Times New Roman" w:eastAsia="Times New Roman" w:hAnsi="Times New Roman"/>
          <w:bCs/>
          <w:sz w:val="28"/>
          <w:szCs w:val="28"/>
          <w:lang w:eastAsia="ru-RU"/>
        </w:rPr>
        <w:tab/>
      </w:r>
    </w:p>
    <w:p w14:paraId="1DA2D36E"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электронная почта: info@saapharma.kz  </w:t>
      </w:r>
    </w:p>
    <w:p w14:paraId="0A95EC2B" w14:textId="77777777" w:rsidR="00161092" w:rsidRPr="00C16AC0" w:rsidRDefault="00161092" w:rsidP="00161092">
      <w:pPr>
        <w:spacing w:after="0" w:line="240" w:lineRule="auto"/>
        <w:jc w:val="both"/>
        <w:rPr>
          <w:rFonts w:ascii="Times New Roman" w:eastAsia="Times New Roman" w:hAnsi="Times New Roman"/>
          <w:b/>
          <w:sz w:val="28"/>
          <w:szCs w:val="28"/>
          <w:lang w:val="uk-UA" w:eastAsia="ru-RU"/>
        </w:rPr>
      </w:pPr>
    </w:p>
    <w:p w14:paraId="5E076369" w14:textId="77777777" w:rsidR="00A95C7E" w:rsidRPr="00C16AC0" w:rsidRDefault="00A95C7E" w:rsidP="00161092">
      <w:pPr>
        <w:autoSpaceDE w:val="0"/>
        <w:autoSpaceDN w:val="0"/>
        <w:adjustRightInd w:val="0"/>
        <w:spacing w:after="0" w:line="240" w:lineRule="auto"/>
        <w:jc w:val="center"/>
        <w:rPr>
          <w:rFonts w:ascii="Times New Roman" w:hAnsi="Times New Roman"/>
          <w:sz w:val="28"/>
          <w:szCs w:val="28"/>
        </w:rPr>
      </w:pPr>
    </w:p>
    <w:p w14:paraId="5C423B6B" w14:textId="058B7B40" w:rsidR="00A95C7E" w:rsidRPr="00C16AC0" w:rsidRDefault="00A95C7E" w:rsidP="00161092">
      <w:pPr>
        <w:autoSpaceDE w:val="0"/>
        <w:autoSpaceDN w:val="0"/>
        <w:adjustRightInd w:val="0"/>
        <w:spacing w:after="0" w:line="240" w:lineRule="auto"/>
        <w:jc w:val="center"/>
        <w:rPr>
          <w:rFonts w:ascii="Times New Roman" w:hAnsi="Times New Roman"/>
          <w:sz w:val="28"/>
          <w:szCs w:val="28"/>
        </w:rPr>
      </w:pPr>
    </w:p>
    <w:p w14:paraId="530405B7" w14:textId="77777777" w:rsidR="00D91FFB" w:rsidRPr="00C16AC0" w:rsidRDefault="00D91FFB" w:rsidP="00161092">
      <w:pPr>
        <w:autoSpaceDE w:val="0"/>
        <w:autoSpaceDN w:val="0"/>
        <w:adjustRightInd w:val="0"/>
        <w:spacing w:after="0" w:line="240" w:lineRule="auto"/>
        <w:jc w:val="center"/>
        <w:rPr>
          <w:rFonts w:ascii="Times New Roman" w:hAnsi="Times New Roman"/>
          <w:sz w:val="28"/>
          <w:szCs w:val="28"/>
        </w:rPr>
      </w:pPr>
    </w:p>
    <w:p w14:paraId="1A7C30E0" w14:textId="77777777" w:rsidR="00A95C7E" w:rsidRPr="00C16AC0" w:rsidRDefault="00A95C7E" w:rsidP="00161092">
      <w:pPr>
        <w:autoSpaceDE w:val="0"/>
        <w:autoSpaceDN w:val="0"/>
        <w:adjustRightInd w:val="0"/>
        <w:spacing w:after="0" w:line="240" w:lineRule="auto"/>
        <w:jc w:val="center"/>
        <w:rPr>
          <w:rFonts w:ascii="Times New Roman" w:hAnsi="Times New Roman"/>
          <w:sz w:val="28"/>
          <w:szCs w:val="28"/>
        </w:rPr>
      </w:pPr>
    </w:p>
    <w:p w14:paraId="3491F2DB" w14:textId="73EE5D3F" w:rsidR="00161092" w:rsidRPr="00C16AC0" w:rsidRDefault="00161092" w:rsidP="00161092">
      <w:pPr>
        <w:autoSpaceDE w:val="0"/>
        <w:autoSpaceDN w:val="0"/>
        <w:adjustRightInd w:val="0"/>
        <w:spacing w:after="0" w:line="240" w:lineRule="auto"/>
        <w:jc w:val="center"/>
        <w:rPr>
          <w:rFonts w:ascii="Times New Roman" w:hAnsi="Times New Roman"/>
          <w:sz w:val="28"/>
          <w:szCs w:val="28"/>
        </w:rPr>
      </w:pPr>
      <w:r w:rsidRPr="00C16AC0">
        <w:rPr>
          <w:rFonts w:ascii="Times New Roman" w:hAnsi="Times New Roman"/>
          <w:sz w:val="28"/>
          <w:szCs w:val="28"/>
        </w:rPr>
        <w:lastRenderedPageBreak/>
        <w:t>ПРИЛОЖЕНИЕ</w:t>
      </w:r>
    </w:p>
    <w:p w14:paraId="5E1E8F1A" w14:textId="77777777" w:rsidR="00161092" w:rsidRPr="00C16AC0" w:rsidRDefault="00161092" w:rsidP="00161092">
      <w:pPr>
        <w:autoSpaceDE w:val="0"/>
        <w:autoSpaceDN w:val="0"/>
        <w:adjustRightInd w:val="0"/>
        <w:spacing w:after="0" w:line="240" w:lineRule="auto"/>
        <w:jc w:val="center"/>
        <w:rPr>
          <w:rFonts w:ascii="Times New Roman" w:hAnsi="Times New Roman"/>
          <w:sz w:val="28"/>
          <w:szCs w:val="28"/>
        </w:rPr>
      </w:pPr>
      <w:r w:rsidRPr="00C16AC0">
        <w:rPr>
          <w:rFonts w:ascii="Times New Roman" w:hAnsi="Times New Roman"/>
          <w:sz w:val="28"/>
          <w:szCs w:val="28"/>
        </w:rPr>
        <w:t>к инструкции по медицинскому применению препарата СинноРА</w:t>
      </w:r>
    </w:p>
    <w:p w14:paraId="5564C697" w14:textId="77777777" w:rsidR="00161092" w:rsidRPr="00C16AC0" w:rsidRDefault="00161092" w:rsidP="00161092">
      <w:pPr>
        <w:autoSpaceDE w:val="0"/>
        <w:autoSpaceDN w:val="0"/>
        <w:adjustRightInd w:val="0"/>
        <w:spacing w:after="0" w:line="240" w:lineRule="auto"/>
        <w:jc w:val="center"/>
        <w:rPr>
          <w:rFonts w:ascii="Times New Roman" w:hAnsi="Times New Roman"/>
          <w:sz w:val="28"/>
          <w:szCs w:val="28"/>
        </w:rPr>
      </w:pPr>
    </w:p>
    <w:p w14:paraId="16236926" w14:textId="77777777" w:rsidR="00161092" w:rsidRPr="00C16AC0" w:rsidRDefault="00161092" w:rsidP="00161092">
      <w:pPr>
        <w:autoSpaceDE w:val="0"/>
        <w:autoSpaceDN w:val="0"/>
        <w:adjustRightInd w:val="0"/>
        <w:spacing w:after="0" w:line="240" w:lineRule="auto"/>
        <w:jc w:val="center"/>
        <w:rPr>
          <w:rFonts w:ascii="Times New Roman" w:hAnsi="Times New Roman"/>
          <w:b/>
          <w:bCs/>
          <w:sz w:val="28"/>
          <w:szCs w:val="28"/>
        </w:rPr>
      </w:pPr>
      <w:r w:rsidRPr="00C16AC0">
        <w:rPr>
          <w:rFonts w:ascii="Times New Roman" w:hAnsi="Times New Roman"/>
          <w:b/>
          <w:bCs/>
          <w:sz w:val="28"/>
          <w:szCs w:val="28"/>
        </w:rPr>
        <w:t>ИНСТРУКЦИЯ ПО ПОДГОТОВКЕ И ВВЕДЕНИЮ ПРЕПАРАТА СинноРА</w:t>
      </w:r>
    </w:p>
    <w:p w14:paraId="6785858F" w14:textId="77777777" w:rsidR="00161092" w:rsidRPr="00C16AC0" w:rsidRDefault="00161092" w:rsidP="00161092">
      <w:pPr>
        <w:autoSpaceDE w:val="0"/>
        <w:autoSpaceDN w:val="0"/>
        <w:adjustRightInd w:val="0"/>
        <w:spacing w:after="0" w:line="240" w:lineRule="auto"/>
        <w:jc w:val="center"/>
        <w:rPr>
          <w:rFonts w:ascii="Times New Roman" w:hAnsi="Times New Roman"/>
          <w:b/>
          <w:bCs/>
          <w:sz w:val="28"/>
          <w:szCs w:val="28"/>
        </w:rPr>
      </w:pPr>
    </w:p>
    <w:p w14:paraId="0861A5FB" w14:textId="77777777" w:rsidR="00161092" w:rsidRPr="00C16AC0" w:rsidRDefault="00161092" w:rsidP="00161092">
      <w:pPr>
        <w:autoSpaceDE w:val="0"/>
        <w:autoSpaceDN w:val="0"/>
        <w:adjustRightInd w:val="0"/>
        <w:spacing w:after="0" w:line="240" w:lineRule="auto"/>
        <w:jc w:val="both"/>
        <w:rPr>
          <w:rFonts w:ascii="Times New Roman" w:hAnsi="Times New Roman"/>
          <w:i/>
          <w:iCs/>
          <w:sz w:val="28"/>
          <w:szCs w:val="28"/>
        </w:rPr>
      </w:pPr>
      <w:r w:rsidRPr="00C16AC0">
        <w:rPr>
          <w:rFonts w:ascii="Times New Roman" w:hAnsi="Times New Roman"/>
          <w:i/>
          <w:iCs/>
          <w:sz w:val="28"/>
          <w:szCs w:val="28"/>
        </w:rPr>
        <w:t>Всегда применяйте препарат СинноРА согласно назначению врача. Если Вы не уверены в рекомендациях по использованию препарата, спросите у своего врача или медицинской сестры. Препарат СинноРА вводится подкожно в рекомендованных врачом дозах. Курс лечения препаратом СинноРА определяется врачом индивидуально.</w:t>
      </w:r>
    </w:p>
    <w:p w14:paraId="2529384C"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Эта инструкция объясняет, как самостоятельно вводить препарат СинноРА. Пожалуйста, внимательно прочитайте инструкцию и выполняйте действия шаг за шагом. Ваш врач или медицинская сестра объяснят Вам технику выполнения подкожной инъекции. Не пытайтесь сделать себе инъекцию до тех пор, пока Вы не будете уверены относительно правильности приготовления и выполнения инъекции. После соответствующего обучения вы сможете выполнять инъекции самостоятельно или при помощи членов семьи и друзей.</w:t>
      </w:r>
    </w:p>
    <w:p w14:paraId="3961723C"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Препарат не должен смешиваться в одном шприце или одном флаконе с любым другим препаратом.</w:t>
      </w:r>
    </w:p>
    <w:p w14:paraId="6A682B3B"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1. Подготовка к инъекции</w:t>
      </w:r>
    </w:p>
    <w:p w14:paraId="394F628E"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Выберите чистую, хорошо освещенную, плоскую рабочую поверхность, например стол.</w:t>
      </w:r>
    </w:p>
    <w:p w14:paraId="3584BF8C"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Извлеките из холодильника коробку СинноРА, содержащую предварительно заполненные шприцы, и поместите ее на плоскую рабочую поверхность. Возьмите один предварительно заполненный шприц и поместите его на рабочую поверхность. НЕ ВСТРЯХИВАЙТЕ предварительно заполненный шприц СинноРА. Поместите коробку с оставшимися предварительно заполненными шприцами обратно в холодильник (2–8°C).</w:t>
      </w:r>
    </w:p>
    <w:p w14:paraId="40B52F28"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Проверьте срок годности предварительно заполненного шприца.</w:t>
      </w:r>
    </w:p>
    <w:p w14:paraId="01DEEE72"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НЕ ИСПОЛЬЗУЙТЕ предварительно заполненный шприц, если крышка иглы отсутствует или прикреплена ненадежно.</w:t>
      </w:r>
    </w:p>
    <w:p w14:paraId="606E47E1"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Для более удобной инъекции дайте СинноРА в предварительно заполненном шприце достичь комнатной температуры (приблизительно от 15 до 30 минут). НЕ СНИМАЙТЕ крышку иглы, пока шприц не достигнет комнатной температуры. НЕ НАГРЕВАЙТЕ СинноРА каким-либо другим способом (например, в микроволновой печи или в горячей воде).</w:t>
      </w:r>
    </w:p>
    <w:p w14:paraId="01C872FD"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Подготовьте дополнительные материалы, которые вам понадобятся для инъекции. К ним относятся спиртовой тампон, ватный тампон или марля и, если возможно, одноразовый контейнер.</w:t>
      </w:r>
    </w:p>
    <w:p w14:paraId="01EFFBC7"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Хорошо вымойте руки с мылом и теплой водой.</w:t>
      </w:r>
    </w:p>
    <w:p w14:paraId="6E9AA6AF"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lastRenderedPageBreak/>
        <w:t>НЕ ВВОДИТЕ раствор, если он мутный или обесцвеченный, или содержит крупные или цветные частицы, или если предварительно заполненный шприц кажется треснутым или сломанным.</w:t>
      </w:r>
    </w:p>
    <w:p w14:paraId="3DF96A8D"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2. Выбор и подготовка места для инъекции</w:t>
      </w:r>
    </w:p>
    <w:p w14:paraId="24797379" w14:textId="77777777" w:rsidR="00161092" w:rsidRPr="00C16AC0" w:rsidRDefault="00161092" w:rsidP="00161092">
      <w:pPr>
        <w:numPr>
          <w:ilvl w:val="0"/>
          <w:numId w:val="31"/>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 xml:space="preserve"> Два рекомендуемых места для инъекции СинноРА с использованием предварительно заполненного шприца включают: (1) переднюю часть средней части бедер; (2) живот, за исключением области диаметром 5 см вокруг пупка.</w:t>
      </w:r>
    </w:p>
    <w:p w14:paraId="624FB109" w14:textId="3475C5F7" w:rsidR="00161092" w:rsidRPr="00C16AC0" w:rsidRDefault="00993FA6" w:rsidP="00161092">
      <w:pPr>
        <w:numPr>
          <w:ilvl w:val="0"/>
          <w:numId w:val="32"/>
        </w:numPr>
        <w:spacing w:after="0" w:line="240" w:lineRule="auto"/>
        <w:jc w:val="both"/>
        <w:rPr>
          <w:rFonts w:ascii="Times New Roman" w:hAnsi="Times New Roman"/>
          <w:noProof/>
          <w:sz w:val="28"/>
          <w:szCs w:val="28"/>
          <w:lang w:eastAsia="ru-RU"/>
        </w:rPr>
      </w:pPr>
      <w:r w:rsidRPr="00DF12EE">
        <w:rPr>
          <w:rFonts w:ascii="Times New Roman" w:hAnsi="Times New Roman"/>
          <w:noProof/>
          <w:sz w:val="28"/>
          <w:szCs w:val="28"/>
          <w:lang w:val="en-US" w:eastAsia="ru-RU"/>
        </w:rPr>
        <w:drawing>
          <wp:inline distT="0" distB="0" distL="0" distR="0" wp14:anchorId="4C0BFF9A" wp14:editId="7C0705C8">
            <wp:extent cx="1807845" cy="1658620"/>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1658620"/>
                    </a:xfrm>
                    <a:prstGeom prst="rect">
                      <a:avLst/>
                    </a:prstGeom>
                    <a:noFill/>
                    <a:ln>
                      <a:noFill/>
                    </a:ln>
                  </pic:spPr>
                </pic:pic>
              </a:graphicData>
            </a:graphic>
          </wp:inline>
        </w:drawing>
      </w:r>
    </w:p>
    <w:p w14:paraId="26479C6F" w14:textId="77777777" w:rsidR="00161092" w:rsidRPr="00C16AC0" w:rsidRDefault="00161092" w:rsidP="00161092">
      <w:pPr>
        <w:numPr>
          <w:ilvl w:val="0"/>
          <w:numId w:val="32"/>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noProof/>
          <w:sz w:val="28"/>
          <w:szCs w:val="28"/>
          <w:lang w:eastAsia="ru-RU"/>
        </w:rPr>
        <w:t>2. Меняйте место инъекции для каждой инъекции. Убедитесь, что к</w:t>
      </w:r>
      <w:proofErr w:type="spellStart"/>
      <w:r w:rsidRPr="00C16AC0">
        <w:rPr>
          <w:rFonts w:ascii="Times New Roman" w:hAnsi="Times New Roman"/>
          <w:sz w:val="28"/>
          <w:szCs w:val="28"/>
        </w:rPr>
        <w:t>аждая</w:t>
      </w:r>
      <w:proofErr w:type="spellEnd"/>
      <w:r w:rsidRPr="00C16AC0">
        <w:rPr>
          <w:rFonts w:ascii="Times New Roman" w:hAnsi="Times New Roman"/>
          <w:sz w:val="28"/>
          <w:szCs w:val="28"/>
        </w:rPr>
        <w:t xml:space="preserve"> новая инъекция сделана на расстоянии как минимум 3 см от места предыдущей инъекции.</w:t>
      </w:r>
      <w:r w:rsidRPr="00C16AC0">
        <w:rPr>
          <w:sz w:val="28"/>
          <w:szCs w:val="28"/>
        </w:rPr>
        <w:t xml:space="preserve"> </w:t>
      </w:r>
      <w:r w:rsidRPr="00C16AC0">
        <w:rPr>
          <w:rFonts w:ascii="Times New Roman" w:hAnsi="Times New Roman"/>
          <w:sz w:val="28"/>
          <w:szCs w:val="28"/>
        </w:rPr>
        <w:t>НЕ ВВОДИТЕ в области с проблемной кожей (нежная, красная или твердая, присутствуют ушибы). Избегайте областей с шрамами или растяжками.</w:t>
      </w:r>
    </w:p>
    <w:p w14:paraId="244912F6" w14:textId="77777777" w:rsidR="00161092" w:rsidRPr="00C16AC0" w:rsidRDefault="00161092" w:rsidP="00161092">
      <w:pPr>
        <w:numPr>
          <w:ilvl w:val="0"/>
          <w:numId w:val="32"/>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3. При псориазе, постарайтесь не вводить инъекции непосредственно в приподнятые, толстые, красные или чешуйчатые участки кожи (поражения кожи).</w:t>
      </w:r>
    </w:p>
    <w:p w14:paraId="22692988" w14:textId="77777777" w:rsidR="00161092" w:rsidRPr="00C16AC0" w:rsidRDefault="00161092" w:rsidP="00161092">
      <w:pPr>
        <w:numPr>
          <w:ilvl w:val="0"/>
          <w:numId w:val="32"/>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4. Протрите спиртовой салфеткой круговыми движениями выбранное Вами место для инъекции.</w:t>
      </w:r>
      <w:r w:rsidRPr="00C16AC0">
        <w:rPr>
          <w:sz w:val="28"/>
          <w:szCs w:val="28"/>
        </w:rPr>
        <w:t xml:space="preserve"> </w:t>
      </w:r>
      <w:r w:rsidRPr="00C16AC0">
        <w:rPr>
          <w:rFonts w:ascii="Times New Roman" w:hAnsi="Times New Roman"/>
          <w:sz w:val="28"/>
          <w:szCs w:val="28"/>
        </w:rPr>
        <w:t>Не касайтесь этого места до того, как сделаете инъекцию.</w:t>
      </w:r>
    </w:p>
    <w:p w14:paraId="376B08CB"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3. Введение препарата СинноРА, используя предварительно заполненный шприц</w:t>
      </w:r>
    </w:p>
    <w:p w14:paraId="203D2B0A"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НЕ СНИМАЙТЕ крышку иглы с предварительно заполненного шприца до инъекции.</w:t>
      </w:r>
    </w:p>
    <w:p w14:paraId="65A8E98F"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Поднимите предварительно заполненный шприц с плоской рабочей поверхности. Удерживая тело предварительно заполненного шприца одной рукой, снимите крышку иглы. Чтобы не повредить иглу, НЕ СКРУЧИВАЙТЕ И НЕ СГИБАЙТЕ крышку иглы, когда вы снимаете ее, и НЕ ПЫТАЙТЕСЬ надеть крышку иглы обратно на предварительно заполненный шприц. При снятии крышки, на конце иглы может быть капля жидкости. НЕ ПРИКАСАЙТЕСЬ к игле и не позволяйте ей касаться какой-либо поверхности. НЕ ТРОГАЙТЕ И НЕ БЕЙТЕ по плунжеру. Это может привести к вытеканию жидкости.</w:t>
      </w:r>
    </w:p>
    <w:p w14:paraId="1C15055E"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Одной рукой держите шприц, как карандаш, другой рукой осторожно сожмите складку кожи на очищенном месте и крепко держите ее.</w:t>
      </w:r>
    </w:p>
    <w:p w14:paraId="6D7BA8A2"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lastRenderedPageBreak/>
        <w:t>Вставьте иглу под небольшим углом (45</w:t>
      </w:r>
      <w:r w:rsidR="0030770B" w:rsidRPr="00C16AC0">
        <w:rPr>
          <w:rFonts w:ascii="Times New Roman" w:hAnsi="Times New Roman"/>
          <w:sz w:val="28"/>
          <w:szCs w:val="28"/>
        </w:rPr>
        <w:t xml:space="preserve"> </w:t>
      </w:r>
      <w:r w:rsidRPr="00C16AC0">
        <w:rPr>
          <w:rFonts w:ascii="Times New Roman" w:hAnsi="Times New Roman"/>
          <w:sz w:val="28"/>
          <w:szCs w:val="28"/>
        </w:rPr>
        <w:t xml:space="preserve">градусов) в кожу, движением </w:t>
      </w:r>
      <w:r w:rsidR="00EA2B52" w:rsidRPr="00C16AC0">
        <w:rPr>
          <w:rFonts w:ascii="Times New Roman" w:hAnsi="Times New Roman"/>
          <w:sz w:val="28"/>
          <w:szCs w:val="28"/>
        </w:rPr>
        <w:t xml:space="preserve">как </w:t>
      </w:r>
      <w:r w:rsidRPr="00C16AC0">
        <w:rPr>
          <w:rFonts w:ascii="Times New Roman" w:hAnsi="Times New Roman"/>
          <w:sz w:val="28"/>
          <w:szCs w:val="28"/>
        </w:rPr>
        <w:t>будто кидаете дротик.</w:t>
      </w:r>
    </w:p>
    <w:p w14:paraId="3C01459D" w14:textId="4F4AB6F0" w:rsidR="00161092" w:rsidRPr="00C16AC0" w:rsidRDefault="00161092" w:rsidP="00161092">
      <w:pPr>
        <w:autoSpaceDE w:val="0"/>
        <w:autoSpaceDN w:val="0"/>
        <w:adjustRightInd w:val="0"/>
        <w:spacing w:after="0" w:line="240" w:lineRule="auto"/>
        <w:jc w:val="both"/>
        <w:rPr>
          <w:rFonts w:ascii="Times New Roman" w:hAnsi="Times New Roman"/>
          <w:noProof/>
          <w:sz w:val="28"/>
          <w:szCs w:val="28"/>
          <w:lang w:eastAsia="ru-RU"/>
        </w:rPr>
      </w:pPr>
      <w:r w:rsidRPr="00C16AC0">
        <w:rPr>
          <w:rFonts w:ascii="Times New Roman" w:hAnsi="Times New Roman"/>
          <w:noProof/>
          <w:sz w:val="28"/>
          <w:szCs w:val="28"/>
          <w:lang w:eastAsia="ru-RU"/>
        </w:rPr>
        <w:t xml:space="preserve">          </w:t>
      </w:r>
      <w:r w:rsidR="00993FA6" w:rsidRPr="00161092">
        <w:rPr>
          <w:rFonts w:ascii="Times New Roman" w:hAnsi="Times New Roman"/>
          <w:noProof/>
          <w:sz w:val="28"/>
          <w:szCs w:val="28"/>
          <w:lang w:eastAsia="ru-RU"/>
        </w:rPr>
        <w:drawing>
          <wp:inline distT="0" distB="0" distL="0" distR="0" wp14:anchorId="1158D643" wp14:editId="497958A6">
            <wp:extent cx="2265045" cy="177546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045" cy="1775460"/>
                    </a:xfrm>
                    <a:prstGeom prst="rect">
                      <a:avLst/>
                    </a:prstGeom>
                    <a:noFill/>
                    <a:ln>
                      <a:noFill/>
                    </a:ln>
                  </pic:spPr>
                </pic:pic>
              </a:graphicData>
            </a:graphic>
          </wp:inline>
        </w:drawing>
      </w:r>
    </w:p>
    <w:p w14:paraId="17D86E21"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После того, как игла введена, отпустите кожу. Медленно надавите на плунжер до упора, чтобы ввести СинноРА.</w:t>
      </w:r>
    </w:p>
    <w:p w14:paraId="6505B683"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После введения всего содержимого шприца, выньте иглу из кожи, стараясь держать ее под тем же углом.</w:t>
      </w:r>
    </w:p>
    <w:p w14:paraId="2737A738"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Прижмите место инъекции спиртовым тампоном в течение 10 секунд. При сильном кровотечении, закройте место инъекции повязкой.</w:t>
      </w:r>
    </w:p>
    <w:p w14:paraId="1D16CAD7"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p>
    <w:p w14:paraId="0E705620"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4. Утилизация материалов</w:t>
      </w:r>
    </w:p>
    <w:p w14:paraId="06A4D010"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Шприц НИКОГДА не следует использовать повторно.</w:t>
      </w:r>
    </w:p>
    <w:p w14:paraId="7BCE9F65"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Соблюдайте все специальные государственные или местные законы, касающиеся надлежащей утилизации игл и шприцев.</w:t>
      </w:r>
    </w:p>
    <w:p w14:paraId="40C5DEA0"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Использованные спиртовые тампоны необходимо выкинуть.</w:t>
      </w:r>
    </w:p>
    <w:p w14:paraId="01FA8090"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Если у вас есть какие-либо дополнительные вопросы по использованию этого лекарства, обратитесь к врачу, фармацевту или медсестре.</w:t>
      </w:r>
    </w:p>
    <w:p w14:paraId="0222BF07" w14:textId="77777777" w:rsidR="00161092" w:rsidRPr="00161092" w:rsidRDefault="00161092" w:rsidP="00161092">
      <w:pPr>
        <w:spacing w:after="0" w:line="240" w:lineRule="auto"/>
        <w:jc w:val="both"/>
        <w:rPr>
          <w:rFonts w:ascii="Times New Roman" w:eastAsia="Times New Roman" w:hAnsi="Times New Roman"/>
          <w:b/>
          <w:i/>
          <w:sz w:val="28"/>
          <w:szCs w:val="28"/>
          <w:lang w:val="uk-UA" w:eastAsia="ru-RU"/>
        </w:rPr>
      </w:pPr>
    </w:p>
    <w:p w14:paraId="0A071131" w14:textId="77777777" w:rsidR="00161092" w:rsidRPr="00161092" w:rsidRDefault="00161092" w:rsidP="00B02F65">
      <w:pPr>
        <w:spacing w:after="0" w:line="240" w:lineRule="auto"/>
        <w:jc w:val="both"/>
        <w:rPr>
          <w:rFonts w:ascii="Times New Roman" w:eastAsia="Times New Roman" w:hAnsi="Times New Roman"/>
          <w:bCs/>
          <w:iCs/>
          <w:sz w:val="28"/>
          <w:szCs w:val="28"/>
          <w:lang w:val="uk-UA" w:eastAsia="ru-RU"/>
        </w:rPr>
      </w:pPr>
    </w:p>
    <w:sectPr w:rsidR="00161092" w:rsidRPr="00161092" w:rsidSect="00C57D8F">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0791" w14:textId="77777777" w:rsidR="00157EBD" w:rsidRDefault="00157EBD" w:rsidP="00D275FC">
      <w:pPr>
        <w:spacing w:after="0" w:line="240" w:lineRule="auto"/>
      </w:pPr>
      <w:r>
        <w:separator/>
      </w:r>
    </w:p>
  </w:endnote>
  <w:endnote w:type="continuationSeparator" w:id="0">
    <w:p w14:paraId="5348B218" w14:textId="77777777" w:rsidR="00157EBD" w:rsidRDefault="00157EBD"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2514" w14:textId="77777777" w:rsidR="00157EBD" w:rsidRDefault="00157EBD" w:rsidP="00D275FC">
      <w:pPr>
        <w:spacing w:after="0" w:line="240" w:lineRule="auto"/>
      </w:pPr>
      <w:r>
        <w:separator/>
      </w:r>
    </w:p>
  </w:footnote>
  <w:footnote w:type="continuationSeparator" w:id="0">
    <w:p w14:paraId="0E181595" w14:textId="77777777" w:rsidR="00157EBD" w:rsidRDefault="00157EBD"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C93F" w14:textId="77777777" w:rsidR="001B3E8D" w:rsidRDefault="00044B34">
    <w:pPr>
      <w:pStyle w:val="af1"/>
    </w:pPr>
    <w:r>
      <w:rPr>
        <w:noProof/>
        <w:lang w:eastAsia="ru-RU"/>
      </w:rPr>
      <mc:AlternateContent>
        <mc:Choice Requires="wps">
          <w:drawing>
            <wp:anchor distT="0" distB="0" distL="114300" distR="114300" simplePos="0" relativeHeight="251657728" behindDoc="0" locked="0" layoutInCell="1" allowOverlap="1" wp14:anchorId="2A9076B1" wp14:editId="03261CBA">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828B66D" w14:textId="77777777" w:rsidR="001B3E8D" w:rsidRPr="00D275FC" w:rsidRDefault="001B3E8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9076B1"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6828B66D" w14:textId="77777777" w:rsidR="001B3E8D" w:rsidRPr="00D275FC" w:rsidRDefault="001B3E8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5pt;height:1.65pt;visibility:visible" o:bullet="t">
        <v:imagedata r:id="rId1" o:title=""/>
      </v:shape>
    </w:pict>
  </w:numPicBullet>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856D15"/>
    <w:multiLevelType w:val="hybridMultilevel"/>
    <w:tmpl w:val="51A6CF8A"/>
    <w:lvl w:ilvl="0" w:tplc="B56214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31007"/>
    <w:multiLevelType w:val="hybridMultilevel"/>
    <w:tmpl w:val="2FA0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A40D0"/>
    <w:multiLevelType w:val="hybridMultilevel"/>
    <w:tmpl w:val="D162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15:restartNumberingAfterBreak="0">
    <w:nsid w:val="72BF4DB1"/>
    <w:multiLevelType w:val="hybridMultilevel"/>
    <w:tmpl w:val="A6B85ED4"/>
    <w:lvl w:ilvl="0" w:tplc="60089116">
      <w:start w:val="1"/>
      <w:numFmt w:val="bullet"/>
      <w:lvlText w:val=""/>
      <w:lvlPicBulletId w:val="0"/>
      <w:lvlJc w:val="left"/>
      <w:pPr>
        <w:tabs>
          <w:tab w:val="num" w:pos="720"/>
        </w:tabs>
        <w:ind w:left="720" w:hanging="360"/>
      </w:pPr>
      <w:rPr>
        <w:rFonts w:ascii="Symbol" w:hAnsi="Symbol" w:hint="default"/>
      </w:rPr>
    </w:lvl>
    <w:lvl w:ilvl="1" w:tplc="92E83AD4" w:tentative="1">
      <w:start w:val="1"/>
      <w:numFmt w:val="bullet"/>
      <w:lvlText w:val=""/>
      <w:lvlJc w:val="left"/>
      <w:pPr>
        <w:tabs>
          <w:tab w:val="num" w:pos="1440"/>
        </w:tabs>
        <w:ind w:left="1440" w:hanging="360"/>
      </w:pPr>
      <w:rPr>
        <w:rFonts w:ascii="Symbol" w:hAnsi="Symbol" w:hint="default"/>
      </w:rPr>
    </w:lvl>
    <w:lvl w:ilvl="2" w:tplc="38FEB494" w:tentative="1">
      <w:start w:val="1"/>
      <w:numFmt w:val="bullet"/>
      <w:lvlText w:val=""/>
      <w:lvlJc w:val="left"/>
      <w:pPr>
        <w:tabs>
          <w:tab w:val="num" w:pos="2160"/>
        </w:tabs>
        <w:ind w:left="2160" w:hanging="360"/>
      </w:pPr>
      <w:rPr>
        <w:rFonts w:ascii="Symbol" w:hAnsi="Symbol" w:hint="default"/>
      </w:rPr>
    </w:lvl>
    <w:lvl w:ilvl="3" w:tplc="21E8057A" w:tentative="1">
      <w:start w:val="1"/>
      <w:numFmt w:val="bullet"/>
      <w:lvlText w:val=""/>
      <w:lvlJc w:val="left"/>
      <w:pPr>
        <w:tabs>
          <w:tab w:val="num" w:pos="2880"/>
        </w:tabs>
        <w:ind w:left="2880" w:hanging="360"/>
      </w:pPr>
      <w:rPr>
        <w:rFonts w:ascii="Symbol" w:hAnsi="Symbol" w:hint="default"/>
      </w:rPr>
    </w:lvl>
    <w:lvl w:ilvl="4" w:tplc="5EBE3100" w:tentative="1">
      <w:start w:val="1"/>
      <w:numFmt w:val="bullet"/>
      <w:lvlText w:val=""/>
      <w:lvlJc w:val="left"/>
      <w:pPr>
        <w:tabs>
          <w:tab w:val="num" w:pos="3600"/>
        </w:tabs>
        <w:ind w:left="3600" w:hanging="360"/>
      </w:pPr>
      <w:rPr>
        <w:rFonts w:ascii="Symbol" w:hAnsi="Symbol" w:hint="default"/>
      </w:rPr>
    </w:lvl>
    <w:lvl w:ilvl="5" w:tplc="329CD818" w:tentative="1">
      <w:start w:val="1"/>
      <w:numFmt w:val="bullet"/>
      <w:lvlText w:val=""/>
      <w:lvlJc w:val="left"/>
      <w:pPr>
        <w:tabs>
          <w:tab w:val="num" w:pos="4320"/>
        </w:tabs>
        <w:ind w:left="4320" w:hanging="360"/>
      </w:pPr>
      <w:rPr>
        <w:rFonts w:ascii="Symbol" w:hAnsi="Symbol" w:hint="default"/>
      </w:rPr>
    </w:lvl>
    <w:lvl w:ilvl="6" w:tplc="B4F48DA6" w:tentative="1">
      <w:start w:val="1"/>
      <w:numFmt w:val="bullet"/>
      <w:lvlText w:val=""/>
      <w:lvlJc w:val="left"/>
      <w:pPr>
        <w:tabs>
          <w:tab w:val="num" w:pos="5040"/>
        </w:tabs>
        <w:ind w:left="5040" w:hanging="360"/>
      </w:pPr>
      <w:rPr>
        <w:rFonts w:ascii="Symbol" w:hAnsi="Symbol" w:hint="default"/>
      </w:rPr>
    </w:lvl>
    <w:lvl w:ilvl="7" w:tplc="94FAB992" w:tentative="1">
      <w:start w:val="1"/>
      <w:numFmt w:val="bullet"/>
      <w:lvlText w:val=""/>
      <w:lvlJc w:val="left"/>
      <w:pPr>
        <w:tabs>
          <w:tab w:val="num" w:pos="5760"/>
        </w:tabs>
        <w:ind w:left="5760" w:hanging="360"/>
      </w:pPr>
      <w:rPr>
        <w:rFonts w:ascii="Symbol" w:hAnsi="Symbol" w:hint="default"/>
      </w:rPr>
    </w:lvl>
    <w:lvl w:ilvl="8" w:tplc="C80C20F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4117024"/>
    <w:multiLevelType w:val="hybridMultilevel"/>
    <w:tmpl w:val="D370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01815"/>
    <w:multiLevelType w:val="hybridMultilevel"/>
    <w:tmpl w:val="A27A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
  </w:num>
  <w:num w:numId="4">
    <w:abstractNumId w:val="22"/>
  </w:num>
  <w:num w:numId="5">
    <w:abstractNumId w:val="33"/>
  </w:num>
  <w:num w:numId="6">
    <w:abstractNumId w:val="6"/>
  </w:num>
  <w:num w:numId="7">
    <w:abstractNumId w:val="28"/>
  </w:num>
  <w:num w:numId="8">
    <w:abstractNumId w:val="8"/>
  </w:num>
  <w:num w:numId="9">
    <w:abstractNumId w:val="19"/>
  </w:num>
  <w:num w:numId="10">
    <w:abstractNumId w:val="9"/>
  </w:num>
  <w:num w:numId="11">
    <w:abstractNumId w:val="18"/>
  </w:num>
  <w:num w:numId="12">
    <w:abstractNumId w:val="21"/>
  </w:num>
  <w:num w:numId="13">
    <w:abstractNumId w:val="24"/>
  </w:num>
  <w:num w:numId="14">
    <w:abstractNumId w:val="12"/>
  </w:num>
  <w:num w:numId="15">
    <w:abstractNumId w:val="0"/>
  </w:num>
  <w:num w:numId="16">
    <w:abstractNumId w:val="31"/>
  </w:num>
  <w:num w:numId="17">
    <w:abstractNumId w:val="17"/>
  </w:num>
  <w:num w:numId="18">
    <w:abstractNumId w:val="16"/>
  </w:num>
  <w:num w:numId="19">
    <w:abstractNumId w:val="7"/>
  </w:num>
  <w:num w:numId="20">
    <w:abstractNumId w:val="1"/>
  </w:num>
  <w:num w:numId="21">
    <w:abstractNumId w:val="10"/>
  </w:num>
  <w:num w:numId="22">
    <w:abstractNumId w:val="5"/>
  </w:num>
  <w:num w:numId="23">
    <w:abstractNumId w:val="25"/>
  </w:num>
  <w:num w:numId="24">
    <w:abstractNumId w:val="11"/>
  </w:num>
  <w:num w:numId="25">
    <w:abstractNumId w:val="30"/>
  </w:num>
  <w:num w:numId="26">
    <w:abstractNumId w:val="13"/>
  </w:num>
  <w:num w:numId="27">
    <w:abstractNumId w:val="23"/>
  </w:num>
  <w:num w:numId="28">
    <w:abstractNumId w:val="32"/>
  </w:num>
  <w:num w:numId="29">
    <w:abstractNumId w:val="2"/>
  </w:num>
  <w:num w:numId="30">
    <w:abstractNumId w:val="27"/>
  </w:num>
  <w:num w:numId="31">
    <w:abstractNumId w:val="29"/>
  </w:num>
  <w:num w:numId="32">
    <w:abstractNumId w:val="26"/>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0123"/>
    <w:rsid w:val="00004094"/>
    <w:rsid w:val="00004127"/>
    <w:rsid w:val="00004262"/>
    <w:rsid w:val="00010371"/>
    <w:rsid w:val="0001077A"/>
    <w:rsid w:val="00011DD5"/>
    <w:rsid w:val="00013D4E"/>
    <w:rsid w:val="00013FCB"/>
    <w:rsid w:val="00014E25"/>
    <w:rsid w:val="00025405"/>
    <w:rsid w:val="000264BB"/>
    <w:rsid w:val="000304C4"/>
    <w:rsid w:val="00031775"/>
    <w:rsid w:val="00033FC1"/>
    <w:rsid w:val="00042999"/>
    <w:rsid w:val="00044B34"/>
    <w:rsid w:val="00046309"/>
    <w:rsid w:val="00051F58"/>
    <w:rsid w:val="0007033B"/>
    <w:rsid w:val="00070A1E"/>
    <w:rsid w:val="00072306"/>
    <w:rsid w:val="000852A1"/>
    <w:rsid w:val="00086B2B"/>
    <w:rsid w:val="00090ED4"/>
    <w:rsid w:val="00092FE4"/>
    <w:rsid w:val="00093C61"/>
    <w:rsid w:val="000972E6"/>
    <w:rsid w:val="000A0D71"/>
    <w:rsid w:val="000A3ECD"/>
    <w:rsid w:val="000A6776"/>
    <w:rsid w:val="000C2B4F"/>
    <w:rsid w:val="000C2C4B"/>
    <w:rsid w:val="000C4C48"/>
    <w:rsid w:val="000C711C"/>
    <w:rsid w:val="000C795F"/>
    <w:rsid w:val="000C7C18"/>
    <w:rsid w:val="000D2DE0"/>
    <w:rsid w:val="000D6BA4"/>
    <w:rsid w:val="000E01AB"/>
    <w:rsid w:val="000E49F0"/>
    <w:rsid w:val="000E6126"/>
    <w:rsid w:val="000F623E"/>
    <w:rsid w:val="000F6F96"/>
    <w:rsid w:val="00100406"/>
    <w:rsid w:val="00101F62"/>
    <w:rsid w:val="0010629F"/>
    <w:rsid w:val="00107A8A"/>
    <w:rsid w:val="00111788"/>
    <w:rsid w:val="0011460E"/>
    <w:rsid w:val="0012149F"/>
    <w:rsid w:val="00132B9A"/>
    <w:rsid w:val="0013344B"/>
    <w:rsid w:val="00135191"/>
    <w:rsid w:val="001368AE"/>
    <w:rsid w:val="00144CCD"/>
    <w:rsid w:val="0014739A"/>
    <w:rsid w:val="001515B1"/>
    <w:rsid w:val="0015490C"/>
    <w:rsid w:val="001573E2"/>
    <w:rsid w:val="00157EBD"/>
    <w:rsid w:val="0016071B"/>
    <w:rsid w:val="00161092"/>
    <w:rsid w:val="0016278D"/>
    <w:rsid w:val="00164212"/>
    <w:rsid w:val="00166A3C"/>
    <w:rsid w:val="00176D57"/>
    <w:rsid w:val="00184348"/>
    <w:rsid w:val="0018462D"/>
    <w:rsid w:val="001937AD"/>
    <w:rsid w:val="001A2577"/>
    <w:rsid w:val="001A2CB2"/>
    <w:rsid w:val="001B0F99"/>
    <w:rsid w:val="001B2AD6"/>
    <w:rsid w:val="001B3E8D"/>
    <w:rsid w:val="001B6AEC"/>
    <w:rsid w:val="001D439D"/>
    <w:rsid w:val="001E0E62"/>
    <w:rsid w:val="001E597B"/>
    <w:rsid w:val="001E6F4C"/>
    <w:rsid w:val="001F16AA"/>
    <w:rsid w:val="00203355"/>
    <w:rsid w:val="00206D53"/>
    <w:rsid w:val="00211005"/>
    <w:rsid w:val="00217D41"/>
    <w:rsid w:val="00222BDD"/>
    <w:rsid w:val="00222CA6"/>
    <w:rsid w:val="00232642"/>
    <w:rsid w:val="002343F7"/>
    <w:rsid w:val="00237697"/>
    <w:rsid w:val="00241E5B"/>
    <w:rsid w:val="00250EDB"/>
    <w:rsid w:val="00253D31"/>
    <w:rsid w:val="00256E10"/>
    <w:rsid w:val="00257B41"/>
    <w:rsid w:val="00260413"/>
    <w:rsid w:val="00260EBC"/>
    <w:rsid w:val="00264710"/>
    <w:rsid w:val="00265075"/>
    <w:rsid w:val="00267567"/>
    <w:rsid w:val="00270B0A"/>
    <w:rsid w:val="00273B2E"/>
    <w:rsid w:val="00281FBE"/>
    <w:rsid w:val="00290D2E"/>
    <w:rsid w:val="00292715"/>
    <w:rsid w:val="002A591C"/>
    <w:rsid w:val="002B1AE3"/>
    <w:rsid w:val="002B4A16"/>
    <w:rsid w:val="002B7960"/>
    <w:rsid w:val="002C10E1"/>
    <w:rsid w:val="002C15EB"/>
    <w:rsid w:val="002C1660"/>
    <w:rsid w:val="002C35A2"/>
    <w:rsid w:val="002C420A"/>
    <w:rsid w:val="002C5345"/>
    <w:rsid w:val="002C658A"/>
    <w:rsid w:val="002D430D"/>
    <w:rsid w:val="002D47D5"/>
    <w:rsid w:val="002D56B7"/>
    <w:rsid w:val="002E0BAD"/>
    <w:rsid w:val="002F4A14"/>
    <w:rsid w:val="003043BF"/>
    <w:rsid w:val="00304FBD"/>
    <w:rsid w:val="0030770B"/>
    <w:rsid w:val="00307AA2"/>
    <w:rsid w:val="00313BD4"/>
    <w:rsid w:val="00320073"/>
    <w:rsid w:val="00321A50"/>
    <w:rsid w:val="00321B5A"/>
    <w:rsid w:val="003262DF"/>
    <w:rsid w:val="0033493A"/>
    <w:rsid w:val="00334E72"/>
    <w:rsid w:val="00341FE9"/>
    <w:rsid w:val="00353575"/>
    <w:rsid w:val="00361798"/>
    <w:rsid w:val="00362616"/>
    <w:rsid w:val="0036288F"/>
    <w:rsid w:val="00365B10"/>
    <w:rsid w:val="00367BA7"/>
    <w:rsid w:val="00367DD8"/>
    <w:rsid w:val="003761C0"/>
    <w:rsid w:val="00380F87"/>
    <w:rsid w:val="003812B2"/>
    <w:rsid w:val="00383CDB"/>
    <w:rsid w:val="003879F9"/>
    <w:rsid w:val="003938B8"/>
    <w:rsid w:val="0039713D"/>
    <w:rsid w:val="003A035E"/>
    <w:rsid w:val="003A0555"/>
    <w:rsid w:val="003A234E"/>
    <w:rsid w:val="003A4310"/>
    <w:rsid w:val="003A66C1"/>
    <w:rsid w:val="003B0285"/>
    <w:rsid w:val="003B1B92"/>
    <w:rsid w:val="003B3A33"/>
    <w:rsid w:val="003B4BE2"/>
    <w:rsid w:val="003C0EED"/>
    <w:rsid w:val="003C420B"/>
    <w:rsid w:val="003D51E7"/>
    <w:rsid w:val="003E07A7"/>
    <w:rsid w:val="003E13CF"/>
    <w:rsid w:val="003E2E77"/>
    <w:rsid w:val="003E5902"/>
    <w:rsid w:val="003F5344"/>
    <w:rsid w:val="003F7EDC"/>
    <w:rsid w:val="00402195"/>
    <w:rsid w:val="0040315E"/>
    <w:rsid w:val="00403E99"/>
    <w:rsid w:val="0040422E"/>
    <w:rsid w:val="00404548"/>
    <w:rsid w:val="0041162E"/>
    <w:rsid w:val="00415473"/>
    <w:rsid w:val="00417BB3"/>
    <w:rsid w:val="00423FE2"/>
    <w:rsid w:val="0042786D"/>
    <w:rsid w:val="00430B49"/>
    <w:rsid w:val="004320F8"/>
    <w:rsid w:val="00433C62"/>
    <w:rsid w:val="004434E0"/>
    <w:rsid w:val="004508AB"/>
    <w:rsid w:val="00451DF0"/>
    <w:rsid w:val="0046231D"/>
    <w:rsid w:val="00472EF5"/>
    <w:rsid w:val="00483C85"/>
    <w:rsid w:val="0048687C"/>
    <w:rsid w:val="00496B39"/>
    <w:rsid w:val="004A31B4"/>
    <w:rsid w:val="004B2FF3"/>
    <w:rsid w:val="004C1922"/>
    <w:rsid w:val="004C462F"/>
    <w:rsid w:val="004C59A5"/>
    <w:rsid w:val="004D49E9"/>
    <w:rsid w:val="005071DA"/>
    <w:rsid w:val="0052164D"/>
    <w:rsid w:val="00522A34"/>
    <w:rsid w:val="00523D82"/>
    <w:rsid w:val="005312B5"/>
    <w:rsid w:val="005322DD"/>
    <w:rsid w:val="00535B5B"/>
    <w:rsid w:val="00535F14"/>
    <w:rsid w:val="00541A00"/>
    <w:rsid w:val="005444B2"/>
    <w:rsid w:val="0054616D"/>
    <w:rsid w:val="00551F8A"/>
    <w:rsid w:val="00552F8B"/>
    <w:rsid w:val="00554003"/>
    <w:rsid w:val="00560367"/>
    <w:rsid w:val="00560FB7"/>
    <w:rsid w:val="00561FE7"/>
    <w:rsid w:val="00567FB8"/>
    <w:rsid w:val="00573229"/>
    <w:rsid w:val="005736C6"/>
    <w:rsid w:val="00575348"/>
    <w:rsid w:val="005869C5"/>
    <w:rsid w:val="005974CA"/>
    <w:rsid w:val="00597745"/>
    <w:rsid w:val="005A1C1B"/>
    <w:rsid w:val="005A3C81"/>
    <w:rsid w:val="005A5680"/>
    <w:rsid w:val="005A6639"/>
    <w:rsid w:val="005A6914"/>
    <w:rsid w:val="005B157E"/>
    <w:rsid w:val="005B3FFE"/>
    <w:rsid w:val="005B7964"/>
    <w:rsid w:val="005C1519"/>
    <w:rsid w:val="005C1C4E"/>
    <w:rsid w:val="005C4A16"/>
    <w:rsid w:val="005D3BCC"/>
    <w:rsid w:val="005D3D8E"/>
    <w:rsid w:val="005D4137"/>
    <w:rsid w:val="005D515D"/>
    <w:rsid w:val="005D68C6"/>
    <w:rsid w:val="005D6A1E"/>
    <w:rsid w:val="005D7EE3"/>
    <w:rsid w:val="005E478E"/>
    <w:rsid w:val="005E50DE"/>
    <w:rsid w:val="005E7CAB"/>
    <w:rsid w:val="005F7097"/>
    <w:rsid w:val="0060364A"/>
    <w:rsid w:val="006040A9"/>
    <w:rsid w:val="00605070"/>
    <w:rsid w:val="006121ED"/>
    <w:rsid w:val="00617843"/>
    <w:rsid w:val="00620F34"/>
    <w:rsid w:val="0062137D"/>
    <w:rsid w:val="00623CA5"/>
    <w:rsid w:val="006247E5"/>
    <w:rsid w:val="00624C1B"/>
    <w:rsid w:val="00625471"/>
    <w:rsid w:val="00627853"/>
    <w:rsid w:val="00634D0C"/>
    <w:rsid w:val="00652BCE"/>
    <w:rsid w:val="00652E29"/>
    <w:rsid w:val="00653617"/>
    <w:rsid w:val="00653B8F"/>
    <w:rsid w:val="00654BD8"/>
    <w:rsid w:val="00661F00"/>
    <w:rsid w:val="006627E4"/>
    <w:rsid w:val="0067136B"/>
    <w:rsid w:val="00671DE4"/>
    <w:rsid w:val="006866AE"/>
    <w:rsid w:val="00691208"/>
    <w:rsid w:val="006933B9"/>
    <w:rsid w:val="00695D0D"/>
    <w:rsid w:val="006A23C4"/>
    <w:rsid w:val="006A702E"/>
    <w:rsid w:val="006B7A90"/>
    <w:rsid w:val="006C5867"/>
    <w:rsid w:val="006C5F38"/>
    <w:rsid w:val="006C7653"/>
    <w:rsid w:val="006D6B10"/>
    <w:rsid w:val="006D7D5A"/>
    <w:rsid w:val="006E4305"/>
    <w:rsid w:val="006E4E61"/>
    <w:rsid w:val="006E5917"/>
    <w:rsid w:val="006E5F4A"/>
    <w:rsid w:val="006F5763"/>
    <w:rsid w:val="006F7A1C"/>
    <w:rsid w:val="00704BAB"/>
    <w:rsid w:val="007104D1"/>
    <w:rsid w:val="007135A6"/>
    <w:rsid w:val="00713DAD"/>
    <w:rsid w:val="00724ADD"/>
    <w:rsid w:val="007258A3"/>
    <w:rsid w:val="007262D4"/>
    <w:rsid w:val="007300E3"/>
    <w:rsid w:val="007312AD"/>
    <w:rsid w:val="00733A73"/>
    <w:rsid w:val="0073651F"/>
    <w:rsid w:val="00736B44"/>
    <w:rsid w:val="00746FF2"/>
    <w:rsid w:val="007548BA"/>
    <w:rsid w:val="0075646E"/>
    <w:rsid w:val="00761133"/>
    <w:rsid w:val="007613FE"/>
    <w:rsid w:val="00762357"/>
    <w:rsid w:val="00764E84"/>
    <w:rsid w:val="00766D9E"/>
    <w:rsid w:val="007708A3"/>
    <w:rsid w:val="00770F4E"/>
    <w:rsid w:val="007728BE"/>
    <w:rsid w:val="007745BF"/>
    <w:rsid w:val="007762F8"/>
    <w:rsid w:val="0078179F"/>
    <w:rsid w:val="00782A4B"/>
    <w:rsid w:val="00783520"/>
    <w:rsid w:val="0078673B"/>
    <w:rsid w:val="00787058"/>
    <w:rsid w:val="0079050B"/>
    <w:rsid w:val="007915AE"/>
    <w:rsid w:val="007A02D3"/>
    <w:rsid w:val="007A11B4"/>
    <w:rsid w:val="007A18B1"/>
    <w:rsid w:val="007A210B"/>
    <w:rsid w:val="007A435C"/>
    <w:rsid w:val="007A781F"/>
    <w:rsid w:val="007B55DD"/>
    <w:rsid w:val="007C055A"/>
    <w:rsid w:val="007C1693"/>
    <w:rsid w:val="007D0E84"/>
    <w:rsid w:val="007D681B"/>
    <w:rsid w:val="007D6896"/>
    <w:rsid w:val="007E05A6"/>
    <w:rsid w:val="007E1D85"/>
    <w:rsid w:val="007E3195"/>
    <w:rsid w:val="00803923"/>
    <w:rsid w:val="008056DA"/>
    <w:rsid w:val="0081154A"/>
    <w:rsid w:val="00811D44"/>
    <w:rsid w:val="00820B36"/>
    <w:rsid w:val="008225D4"/>
    <w:rsid w:val="0082596B"/>
    <w:rsid w:val="00827BB2"/>
    <w:rsid w:val="008329DA"/>
    <w:rsid w:val="008330E7"/>
    <w:rsid w:val="008334F4"/>
    <w:rsid w:val="008343E3"/>
    <w:rsid w:val="008353A4"/>
    <w:rsid w:val="00841630"/>
    <w:rsid w:val="00842C77"/>
    <w:rsid w:val="00844F69"/>
    <w:rsid w:val="00847154"/>
    <w:rsid w:val="008615CC"/>
    <w:rsid w:val="008647F3"/>
    <w:rsid w:val="008652CE"/>
    <w:rsid w:val="0086657B"/>
    <w:rsid w:val="00874BED"/>
    <w:rsid w:val="00877D9D"/>
    <w:rsid w:val="008832E5"/>
    <w:rsid w:val="00897669"/>
    <w:rsid w:val="00897681"/>
    <w:rsid w:val="008A4BDC"/>
    <w:rsid w:val="008C0181"/>
    <w:rsid w:val="008C32C1"/>
    <w:rsid w:val="008D4451"/>
    <w:rsid w:val="008D62B7"/>
    <w:rsid w:val="008D6E4C"/>
    <w:rsid w:val="008E1FC6"/>
    <w:rsid w:val="008E6895"/>
    <w:rsid w:val="008F13B0"/>
    <w:rsid w:val="00900B3C"/>
    <w:rsid w:val="00904FB5"/>
    <w:rsid w:val="009064A4"/>
    <w:rsid w:val="0091136C"/>
    <w:rsid w:val="00913338"/>
    <w:rsid w:val="00913664"/>
    <w:rsid w:val="009140F8"/>
    <w:rsid w:val="009146AB"/>
    <w:rsid w:val="00930D7D"/>
    <w:rsid w:val="00934800"/>
    <w:rsid w:val="0095047E"/>
    <w:rsid w:val="00951D94"/>
    <w:rsid w:val="00956101"/>
    <w:rsid w:val="00960219"/>
    <w:rsid w:val="0096204A"/>
    <w:rsid w:val="00962CD6"/>
    <w:rsid w:val="00963760"/>
    <w:rsid w:val="00984592"/>
    <w:rsid w:val="00987E33"/>
    <w:rsid w:val="00990D08"/>
    <w:rsid w:val="00991B95"/>
    <w:rsid w:val="00993A60"/>
    <w:rsid w:val="00993FA6"/>
    <w:rsid w:val="00996C81"/>
    <w:rsid w:val="009A0EB3"/>
    <w:rsid w:val="009A35D6"/>
    <w:rsid w:val="009A56A4"/>
    <w:rsid w:val="009A5924"/>
    <w:rsid w:val="009A6083"/>
    <w:rsid w:val="009A68C8"/>
    <w:rsid w:val="009B014E"/>
    <w:rsid w:val="009B1A31"/>
    <w:rsid w:val="009B6F09"/>
    <w:rsid w:val="009B7F3F"/>
    <w:rsid w:val="009C1250"/>
    <w:rsid w:val="009C3710"/>
    <w:rsid w:val="009D1965"/>
    <w:rsid w:val="009D71D5"/>
    <w:rsid w:val="009E2887"/>
    <w:rsid w:val="009E5CB9"/>
    <w:rsid w:val="009E7D8C"/>
    <w:rsid w:val="009F0F46"/>
    <w:rsid w:val="009F31F2"/>
    <w:rsid w:val="009F45A5"/>
    <w:rsid w:val="009F5B30"/>
    <w:rsid w:val="00A01C2E"/>
    <w:rsid w:val="00A02BB2"/>
    <w:rsid w:val="00A04052"/>
    <w:rsid w:val="00A074FE"/>
    <w:rsid w:val="00A12563"/>
    <w:rsid w:val="00A17B0B"/>
    <w:rsid w:val="00A20A93"/>
    <w:rsid w:val="00A279D7"/>
    <w:rsid w:val="00A314FC"/>
    <w:rsid w:val="00A4235D"/>
    <w:rsid w:val="00A71B2B"/>
    <w:rsid w:val="00A7662E"/>
    <w:rsid w:val="00A81896"/>
    <w:rsid w:val="00A95C7E"/>
    <w:rsid w:val="00AA5D0A"/>
    <w:rsid w:val="00AA5E2F"/>
    <w:rsid w:val="00AA7317"/>
    <w:rsid w:val="00AB55A5"/>
    <w:rsid w:val="00AC2C0B"/>
    <w:rsid w:val="00AC4905"/>
    <w:rsid w:val="00AD45A3"/>
    <w:rsid w:val="00AE7922"/>
    <w:rsid w:val="00AE7D9C"/>
    <w:rsid w:val="00AF263F"/>
    <w:rsid w:val="00AF29DE"/>
    <w:rsid w:val="00AF4D88"/>
    <w:rsid w:val="00B01011"/>
    <w:rsid w:val="00B02F65"/>
    <w:rsid w:val="00B36D68"/>
    <w:rsid w:val="00B36E59"/>
    <w:rsid w:val="00B42A1D"/>
    <w:rsid w:val="00B46F30"/>
    <w:rsid w:val="00B554A5"/>
    <w:rsid w:val="00B55A0D"/>
    <w:rsid w:val="00B606FA"/>
    <w:rsid w:val="00B608C1"/>
    <w:rsid w:val="00B60D3D"/>
    <w:rsid w:val="00B61D95"/>
    <w:rsid w:val="00B75D9A"/>
    <w:rsid w:val="00B765BC"/>
    <w:rsid w:val="00B76EAD"/>
    <w:rsid w:val="00B859B2"/>
    <w:rsid w:val="00B9187F"/>
    <w:rsid w:val="00B9410E"/>
    <w:rsid w:val="00BA5D66"/>
    <w:rsid w:val="00BB3050"/>
    <w:rsid w:val="00BB7831"/>
    <w:rsid w:val="00BC1B6F"/>
    <w:rsid w:val="00BC31BC"/>
    <w:rsid w:val="00BC321E"/>
    <w:rsid w:val="00BC6167"/>
    <w:rsid w:val="00BD6A63"/>
    <w:rsid w:val="00BE3C60"/>
    <w:rsid w:val="00BE413D"/>
    <w:rsid w:val="00BE4435"/>
    <w:rsid w:val="00BE67C3"/>
    <w:rsid w:val="00BE6B71"/>
    <w:rsid w:val="00C027AA"/>
    <w:rsid w:val="00C04949"/>
    <w:rsid w:val="00C0534B"/>
    <w:rsid w:val="00C06238"/>
    <w:rsid w:val="00C06ED9"/>
    <w:rsid w:val="00C07BB3"/>
    <w:rsid w:val="00C16AC0"/>
    <w:rsid w:val="00C2000E"/>
    <w:rsid w:val="00C254CB"/>
    <w:rsid w:val="00C34A0F"/>
    <w:rsid w:val="00C3522C"/>
    <w:rsid w:val="00C379C9"/>
    <w:rsid w:val="00C422B8"/>
    <w:rsid w:val="00C44C0D"/>
    <w:rsid w:val="00C47D4D"/>
    <w:rsid w:val="00C566D6"/>
    <w:rsid w:val="00C574E3"/>
    <w:rsid w:val="00C57D8F"/>
    <w:rsid w:val="00C625A2"/>
    <w:rsid w:val="00C65534"/>
    <w:rsid w:val="00C6632A"/>
    <w:rsid w:val="00C7506F"/>
    <w:rsid w:val="00C839ED"/>
    <w:rsid w:val="00C84299"/>
    <w:rsid w:val="00C92F14"/>
    <w:rsid w:val="00C933C3"/>
    <w:rsid w:val="00C97365"/>
    <w:rsid w:val="00CA4C0A"/>
    <w:rsid w:val="00CC08BA"/>
    <w:rsid w:val="00CC330A"/>
    <w:rsid w:val="00CC3872"/>
    <w:rsid w:val="00CC5727"/>
    <w:rsid w:val="00CC63C5"/>
    <w:rsid w:val="00CC6539"/>
    <w:rsid w:val="00CC71C6"/>
    <w:rsid w:val="00CC7DBD"/>
    <w:rsid w:val="00CD502D"/>
    <w:rsid w:val="00CD5F70"/>
    <w:rsid w:val="00CF21E3"/>
    <w:rsid w:val="00CF3849"/>
    <w:rsid w:val="00CF7D67"/>
    <w:rsid w:val="00D0233C"/>
    <w:rsid w:val="00D11462"/>
    <w:rsid w:val="00D14D61"/>
    <w:rsid w:val="00D154DB"/>
    <w:rsid w:val="00D22A47"/>
    <w:rsid w:val="00D275FC"/>
    <w:rsid w:val="00D3576E"/>
    <w:rsid w:val="00D43297"/>
    <w:rsid w:val="00D46B0B"/>
    <w:rsid w:val="00D46FE7"/>
    <w:rsid w:val="00D53552"/>
    <w:rsid w:val="00D53D42"/>
    <w:rsid w:val="00D55ED8"/>
    <w:rsid w:val="00D5677A"/>
    <w:rsid w:val="00D5789F"/>
    <w:rsid w:val="00D64DE0"/>
    <w:rsid w:val="00D70DB6"/>
    <w:rsid w:val="00D76048"/>
    <w:rsid w:val="00D84559"/>
    <w:rsid w:val="00D851F3"/>
    <w:rsid w:val="00D91FFB"/>
    <w:rsid w:val="00D93C80"/>
    <w:rsid w:val="00D96A8F"/>
    <w:rsid w:val="00DA04D9"/>
    <w:rsid w:val="00DA1C4A"/>
    <w:rsid w:val="00DB223D"/>
    <w:rsid w:val="00DB406A"/>
    <w:rsid w:val="00DB4BB2"/>
    <w:rsid w:val="00DB60B5"/>
    <w:rsid w:val="00DE18B4"/>
    <w:rsid w:val="00DE2D4F"/>
    <w:rsid w:val="00DF0621"/>
    <w:rsid w:val="00DF11A7"/>
    <w:rsid w:val="00E0051C"/>
    <w:rsid w:val="00E039EA"/>
    <w:rsid w:val="00E11422"/>
    <w:rsid w:val="00E12CFA"/>
    <w:rsid w:val="00E271CB"/>
    <w:rsid w:val="00E322B8"/>
    <w:rsid w:val="00E3475E"/>
    <w:rsid w:val="00E34FE3"/>
    <w:rsid w:val="00E37386"/>
    <w:rsid w:val="00E50250"/>
    <w:rsid w:val="00E5046D"/>
    <w:rsid w:val="00E55D6C"/>
    <w:rsid w:val="00E57396"/>
    <w:rsid w:val="00E636E7"/>
    <w:rsid w:val="00E63B9E"/>
    <w:rsid w:val="00E64EE0"/>
    <w:rsid w:val="00E70134"/>
    <w:rsid w:val="00E71CF6"/>
    <w:rsid w:val="00E729B4"/>
    <w:rsid w:val="00E740FB"/>
    <w:rsid w:val="00E81A1B"/>
    <w:rsid w:val="00E81A86"/>
    <w:rsid w:val="00E82D2E"/>
    <w:rsid w:val="00E8607B"/>
    <w:rsid w:val="00E90903"/>
    <w:rsid w:val="00E91073"/>
    <w:rsid w:val="00E93583"/>
    <w:rsid w:val="00E969E9"/>
    <w:rsid w:val="00EA2B52"/>
    <w:rsid w:val="00EA2F86"/>
    <w:rsid w:val="00EA602D"/>
    <w:rsid w:val="00EA6D39"/>
    <w:rsid w:val="00EA6EFC"/>
    <w:rsid w:val="00EA6F9A"/>
    <w:rsid w:val="00EA7E72"/>
    <w:rsid w:val="00EB1D97"/>
    <w:rsid w:val="00EB6321"/>
    <w:rsid w:val="00EC5FAF"/>
    <w:rsid w:val="00ED34DF"/>
    <w:rsid w:val="00ED45A4"/>
    <w:rsid w:val="00EE3CAE"/>
    <w:rsid w:val="00EE3E75"/>
    <w:rsid w:val="00EF37D9"/>
    <w:rsid w:val="00EF4419"/>
    <w:rsid w:val="00EF4C53"/>
    <w:rsid w:val="00EF5CCE"/>
    <w:rsid w:val="00EF61C2"/>
    <w:rsid w:val="00F006F1"/>
    <w:rsid w:val="00F02847"/>
    <w:rsid w:val="00F07B7B"/>
    <w:rsid w:val="00F123AE"/>
    <w:rsid w:val="00F1619B"/>
    <w:rsid w:val="00F22D68"/>
    <w:rsid w:val="00F23B95"/>
    <w:rsid w:val="00F27866"/>
    <w:rsid w:val="00F35679"/>
    <w:rsid w:val="00F37B39"/>
    <w:rsid w:val="00F40388"/>
    <w:rsid w:val="00F45BDE"/>
    <w:rsid w:val="00F55B68"/>
    <w:rsid w:val="00F604C3"/>
    <w:rsid w:val="00F63389"/>
    <w:rsid w:val="00F66BB5"/>
    <w:rsid w:val="00F74AD1"/>
    <w:rsid w:val="00F85F59"/>
    <w:rsid w:val="00F91977"/>
    <w:rsid w:val="00F91C8D"/>
    <w:rsid w:val="00F94E8F"/>
    <w:rsid w:val="00F9786A"/>
    <w:rsid w:val="00F9792F"/>
    <w:rsid w:val="00F97B57"/>
    <w:rsid w:val="00FA39CC"/>
    <w:rsid w:val="00FA4F7C"/>
    <w:rsid w:val="00FB0456"/>
    <w:rsid w:val="00FB47F4"/>
    <w:rsid w:val="00FC0DD7"/>
    <w:rsid w:val="00FC6C4E"/>
    <w:rsid w:val="00FD2B12"/>
    <w:rsid w:val="00FD2B9F"/>
    <w:rsid w:val="00FD3E7E"/>
    <w:rsid w:val="00FF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3870"/>
  <w15:docId w15:val="{FF52F84B-29FA-4949-A23D-A8B99DED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character" w:customStyle="1" w:styleId="21">
    <w:name w:val="Неразрешенное упоминание2"/>
    <w:uiPriority w:val="99"/>
    <w:semiHidden/>
    <w:unhideWhenUsed/>
    <w:rsid w:val="0041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13260671">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954A-61C9-4A49-B532-966A8D18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7760</Words>
  <Characters>44232</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51889</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Alla Pankratova</cp:lastModifiedBy>
  <cp:revision>21</cp:revision>
  <cp:lastPrinted>2018-03-22T06:08:00Z</cp:lastPrinted>
  <dcterms:created xsi:type="dcterms:W3CDTF">2020-12-15T03:23:00Z</dcterms:created>
  <dcterms:modified xsi:type="dcterms:W3CDTF">2021-06-08T04:42:00Z</dcterms:modified>
</cp:coreProperties>
</file>