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15577F" w14:paraId="64D552BC" w14:textId="77777777" w:rsidTr="007E1D85">
        <w:tc>
          <w:tcPr>
            <w:tcW w:w="5211" w:type="dxa"/>
            <w:hideMark/>
          </w:tcPr>
          <w:p w14:paraId="312048CD" w14:textId="77777777" w:rsidR="007E1D85" w:rsidRPr="0015577F" w:rsidRDefault="007E1D85" w:rsidP="0015577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Hlk58849531"/>
          </w:p>
        </w:tc>
        <w:tc>
          <w:tcPr>
            <w:tcW w:w="4536" w:type="dxa"/>
            <w:hideMark/>
          </w:tcPr>
          <w:p w14:paraId="6D8E5150" w14:textId="77777777" w:rsidR="00807129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07D266BF" w14:textId="77777777" w:rsidR="00807129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Приказом Председателя</w:t>
            </w:r>
          </w:p>
          <w:p w14:paraId="2DBC6A74" w14:textId="5752E905" w:rsidR="00807129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РГУ «Комитет медицинского и</w:t>
            </w:r>
          </w:p>
          <w:p w14:paraId="304CBF68" w14:textId="22C2591B" w:rsidR="00807129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0B57B567" w14:textId="77777777" w:rsidR="00807129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3ED6E1DF" w14:textId="559E4C75" w:rsidR="00807129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Республики Казахстан</w:t>
            </w:r>
            <w:r w:rsidR="00DA1466"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»</w:t>
            </w:r>
          </w:p>
          <w:p w14:paraId="54A3FD5B" w14:textId="77777777" w:rsidR="00807129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от «___</w:t>
            </w:r>
            <w:proofErr w:type="gramStart"/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_»_</w:t>
            </w:r>
            <w:proofErr w:type="gramEnd"/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___________20__г.</w:t>
            </w:r>
          </w:p>
          <w:p w14:paraId="43E1C7A0" w14:textId="323B61A1" w:rsidR="00523D82" w:rsidRPr="0015577F" w:rsidRDefault="00807129" w:rsidP="0015577F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47B423FC" w14:textId="77777777" w:rsidR="00523D82" w:rsidRPr="0015577F" w:rsidRDefault="00D46B0B" w:rsidP="00155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5577F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15577F" w14:paraId="3B7F868E" w14:textId="77777777" w:rsidTr="007E1D85">
        <w:tc>
          <w:tcPr>
            <w:tcW w:w="5211" w:type="dxa"/>
          </w:tcPr>
          <w:p w14:paraId="66D3EE7B" w14:textId="77777777" w:rsidR="00523D82" w:rsidRPr="0015577F" w:rsidRDefault="00523D82" w:rsidP="0015577F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B70CC02" w14:textId="77777777" w:rsidR="00523D82" w:rsidRPr="0015577F" w:rsidRDefault="00523D82" w:rsidP="0015577F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14F5512" w14:textId="77777777" w:rsidR="00523D82" w:rsidRPr="0015577F" w:rsidRDefault="00523D82" w:rsidP="001557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2659C875" w14:textId="77777777" w:rsidR="00D76048" w:rsidRPr="0015577F" w:rsidRDefault="00D76048" w:rsidP="001557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5D6C064C" w14:textId="77777777" w:rsidR="00D76048" w:rsidRPr="0015577F" w:rsidRDefault="00D76048" w:rsidP="001557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143A6AA1" w14:textId="77777777" w:rsidR="002C76D7" w:rsidRPr="0015577F" w:rsidRDefault="002C76D7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194DE0" w14:textId="77777777" w:rsidR="002C76D7" w:rsidRPr="0015577F" w:rsidRDefault="00D76048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5CD4460" w14:textId="0B70B27F" w:rsidR="002C76D7" w:rsidRPr="0015577F" w:rsidRDefault="00807129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>Азацитидин</w:t>
      </w:r>
      <w:proofErr w:type="spellEnd"/>
      <w:r w:rsidR="006C0145" w:rsidRPr="0015577F">
        <w:rPr>
          <w:rFonts w:ascii="Times New Roman" w:eastAsia="Times New Roman" w:hAnsi="Times New Roman"/>
          <w:sz w:val="28"/>
          <w:szCs w:val="28"/>
          <w:lang w:eastAsia="ru-RU"/>
        </w:rPr>
        <w:t xml:space="preserve"> Аккорд</w:t>
      </w:r>
    </w:p>
    <w:p w14:paraId="2EC4BA9E" w14:textId="77777777" w:rsidR="00467542" w:rsidRPr="0015577F" w:rsidRDefault="00467542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380B86" w14:textId="77777777" w:rsidR="002C76D7" w:rsidRPr="0015577F" w:rsidRDefault="00AE7922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1D1F0280" w14:textId="77777777" w:rsidR="002C76D7" w:rsidRPr="0015577F" w:rsidRDefault="00C749B1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>Азацитидин</w:t>
      </w:r>
      <w:proofErr w:type="spellEnd"/>
    </w:p>
    <w:p w14:paraId="49AFB4C7" w14:textId="77777777" w:rsidR="00467542" w:rsidRPr="0015577F" w:rsidRDefault="00467542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B70CAF" w14:textId="77777777" w:rsidR="00D76048" w:rsidRPr="0015577F" w:rsidRDefault="002C76D7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9946E5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</w:t>
      </w:r>
    </w:p>
    <w:p w14:paraId="2D6E7FF9" w14:textId="683C7130" w:rsidR="00B01011" w:rsidRPr="0015577F" w:rsidRDefault="00003069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7F">
        <w:rPr>
          <w:rFonts w:ascii="Times New Roman" w:hAnsi="Times New Roman"/>
          <w:sz w:val="28"/>
          <w:szCs w:val="28"/>
          <w:lang w:val="kk-KZ"/>
        </w:rPr>
        <w:t>Л</w:t>
      </w:r>
      <w:proofErr w:type="spellStart"/>
      <w:r w:rsidR="00807129" w:rsidRPr="0015577F">
        <w:rPr>
          <w:rFonts w:ascii="Times New Roman" w:hAnsi="Times New Roman"/>
          <w:sz w:val="28"/>
          <w:szCs w:val="28"/>
        </w:rPr>
        <w:t>иофилиз</w:t>
      </w:r>
      <w:proofErr w:type="spellEnd"/>
      <w:r w:rsidRPr="0015577F">
        <w:rPr>
          <w:rFonts w:ascii="Times New Roman" w:hAnsi="Times New Roman"/>
          <w:sz w:val="28"/>
          <w:szCs w:val="28"/>
          <w:lang w:val="kk-KZ"/>
        </w:rPr>
        <w:t>ат</w:t>
      </w:r>
      <w:r w:rsidR="00807129" w:rsidRPr="0015577F">
        <w:rPr>
          <w:rFonts w:ascii="Times New Roman" w:hAnsi="Times New Roman"/>
          <w:sz w:val="28"/>
          <w:szCs w:val="28"/>
        </w:rPr>
        <w:t xml:space="preserve"> для приготовления </w:t>
      </w:r>
      <w:r w:rsidRPr="0015577F">
        <w:rPr>
          <w:rFonts w:ascii="Times New Roman" w:hAnsi="Times New Roman"/>
          <w:sz w:val="28"/>
          <w:szCs w:val="28"/>
          <w:lang w:val="kk-KZ"/>
        </w:rPr>
        <w:t>суспензии</w:t>
      </w:r>
      <w:r w:rsidR="00807129" w:rsidRPr="0015577F">
        <w:rPr>
          <w:rFonts w:ascii="Times New Roman" w:hAnsi="Times New Roman"/>
          <w:sz w:val="28"/>
          <w:szCs w:val="28"/>
        </w:rPr>
        <w:t xml:space="preserve"> для подкожного введения</w:t>
      </w:r>
      <w:r w:rsidR="00C749B1" w:rsidRPr="0015577F">
        <w:rPr>
          <w:rFonts w:ascii="Times New Roman" w:hAnsi="Times New Roman"/>
          <w:sz w:val="28"/>
          <w:szCs w:val="28"/>
        </w:rPr>
        <w:t>, 100 мг</w:t>
      </w:r>
    </w:p>
    <w:p w14:paraId="03304A9A" w14:textId="77777777" w:rsidR="00467542" w:rsidRPr="0015577F" w:rsidRDefault="00467542" w:rsidP="001557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</w:p>
    <w:p w14:paraId="6EAAB2EF" w14:textId="77777777" w:rsidR="00851E0D" w:rsidRPr="0015577F" w:rsidRDefault="00AE7922" w:rsidP="001557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15577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15577F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59F757C" w14:textId="77777777" w:rsidR="00C749B1" w:rsidRPr="0015577F" w:rsidRDefault="00851E0D" w:rsidP="001557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Антинеопластические </w:t>
      </w:r>
      <w:r w:rsidR="00C749B1" w:rsidRPr="0015577F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иммуномодулирующие препараты. Антинеопластические </w:t>
      </w:r>
      <w:r w:rsidR="00C749B1" w:rsidRPr="0015577F">
        <w:rPr>
          <w:rFonts w:ascii="Times New Roman" w:eastAsia="Times New Roman" w:hAnsi="Times New Roman"/>
          <w:sz w:val="28"/>
          <w:szCs w:val="28"/>
        </w:rPr>
        <w:t xml:space="preserve">препараты. Антиметаболиты. Пиримидиновые аналоги. </w:t>
      </w:r>
      <w:proofErr w:type="spellStart"/>
      <w:r w:rsidR="00C749B1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C749B1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16AEDC9" w14:textId="5F20CADC" w:rsidR="00851E0D" w:rsidRPr="0015577F" w:rsidRDefault="00C749B1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Код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AT</w:t>
      </w:r>
      <w:r w:rsidRPr="0015577F">
        <w:rPr>
          <w:rFonts w:ascii="Times New Roman" w:eastAsia="Times New Roman" w:hAnsi="Times New Roman"/>
          <w:sz w:val="28"/>
          <w:szCs w:val="28"/>
        </w:rPr>
        <w:t>Х</w:t>
      </w:r>
      <w:r w:rsidR="008D4849" w:rsidRPr="001557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15577F">
        <w:rPr>
          <w:rFonts w:ascii="Times New Roman" w:eastAsia="Times New Roman" w:hAnsi="Times New Roman"/>
          <w:sz w:val="28"/>
          <w:szCs w:val="28"/>
        </w:rPr>
        <w:t>01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BC</w:t>
      </w:r>
      <w:r w:rsidR="00851E0D" w:rsidRPr="0015577F">
        <w:rPr>
          <w:rFonts w:ascii="Times New Roman" w:eastAsia="Times New Roman" w:hAnsi="Times New Roman"/>
          <w:sz w:val="28"/>
          <w:szCs w:val="28"/>
        </w:rPr>
        <w:t>07</w:t>
      </w:r>
    </w:p>
    <w:p w14:paraId="2E312CC2" w14:textId="77777777" w:rsidR="002A4CB9" w:rsidRPr="0015577F" w:rsidRDefault="002A4CB9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F8EE851" w14:textId="77777777" w:rsidR="00851E0D" w:rsidRPr="0015577F" w:rsidRDefault="005444B2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Hlk20834430"/>
    </w:p>
    <w:p w14:paraId="18733D1A" w14:textId="2856375A" w:rsidR="00C749B1" w:rsidRPr="0015577F" w:rsidRDefault="00C749B1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Препарат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применяется для лечения взрослых пациентов, которым не может быть выполнена трансплантация гемопоэтических стволовых клеток (ТГСК), имеющих:</w:t>
      </w:r>
    </w:p>
    <w:p w14:paraId="17FBC179" w14:textId="77777777" w:rsidR="00C749B1" w:rsidRPr="0015577F" w:rsidRDefault="00C749B1" w:rsidP="0015577F">
      <w:pPr>
        <w:keepLines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миелодиспластический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синдром (МДС) с высокой или промежуточной-2 степенью риска в соответствии со шкалой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IPSS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(Международная прогностическая система баллов);</w:t>
      </w:r>
    </w:p>
    <w:p w14:paraId="303A0D2F" w14:textId="77777777" w:rsidR="00C749B1" w:rsidRPr="0015577F" w:rsidRDefault="00C749B1" w:rsidP="0015577F">
      <w:pPr>
        <w:keepLines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хронический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миеломоноцитарный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лейкоз (ХММЛ) без признаков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миелодиспластического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синдрома и с содержанием бластов в костном мозге 10-29%;</w:t>
      </w:r>
    </w:p>
    <w:p w14:paraId="3E188FD4" w14:textId="77777777" w:rsidR="00C749B1" w:rsidRPr="0015577F" w:rsidRDefault="00C749B1" w:rsidP="0015577F">
      <w:pPr>
        <w:keepLines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острый миелоидный лейкоз (ОМЛ) с содержанием бластов 20-30% 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мультилинейной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дисплазией в соответствии с классификацией Всемирной Организации Здравоохранения (ВОЗ);</w:t>
      </w:r>
    </w:p>
    <w:p w14:paraId="4F5283FE" w14:textId="3407118B" w:rsidR="00C749B1" w:rsidRPr="0015577F" w:rsidRDefault="005F6BF1" w:rsidP="0015577F">
      <w:pPr>
        <w:keepLines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острый миелоидный </w:t>
      </w:r>
      <w:proofErr w:type="gramStart"/>
      <w:r w:rsidRPr="0015577F">
        <w:rPr>
          <w:rFonts w:ascii="Times New Roman" w:eastAsia="Times New Roman" w:hAnsi="Times New Roman"/>
          <w:sz w:val="28"/>
          <w:szCs w:val="28"/>
        </w:rPr>
        <w:t>лейкоз  (</w:t>
      </w:r>
      <w:proofErr w:type="gramEnd"/>
      <w:r w:rsidR="00C749B1" w:rsidRPr="0015577F">
        <w:rPr>
          <w:rFonts w:ascii="Times New Roman" w:eastAsia="Times New Roman" w:hAnsi="Times New Roman"/>
          <w:sz w:val="28"/>
          <w:szCs w:val="28"/>
        </w:rPr>
        <w:t>ОМЛ</w:t>
      </w:r>
      <w:r w:rsidRPr="0015577F">
        <w:rPr>
          <w:rFonts w:ascii="Times New Roman" w:eastAsia="Times New Roman" w:hAnsi="Times New Roman"/>
          <w:sz w:val="28"/>
          <w:szCs w:val="28"/>
        </w:rPr>
        <w:t>)</w:t>
      </w:r>
      <w:r w:rsidR="00C749B1" w:rsidRPr="0015577F">
        <w:rPr>
          <w:rFonts w:ascii="Times New Roman" w:eastAsia="Times New Roman" w:hAnsi="Times New Roman"/>
          <w:sz w:val="28"/>
          <w:szCs w:val="28"/>
        </w:rPr>
        <w:t xml:space="preserve"> с содержанием бластов в костном мозге свыше 30% в соответствии с классификацией ВОЗ.</w:t>
      </w:r>
    </w:p>
    <w:p w14:paraId="2B9E8828" w14:textId="77777777" w:rsidR="002A4CB9" w:rsidRPr="0015577F" w:rsidRDefault="002A4CB9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2"/>
    <w:p w14:paraId="7BDA3B0C" w14:textId="77777777" w:rsidR="00DB406A" w:rsidRPr="0015577F" w:rsidRDefault="00DB406A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7E18375D" w14:textId="77777777" w:rsidR="00851E0D" w:rsidRPr="0015577F" w:rsidRDefault="007D0E84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  <w:bookmarkStart w:id="3" w:name="_Hlk20834483"/>
    </w:p>
    <w:p w14:paraId="0210DC4E" w14:textId="280E9B85" w:rsidR="00851E0D" w:rsidRPr="0015577F" w:rsidRDefault="00851E0D" w:rsidP="0015577F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</w:t>
      </w:r>
      <w:r w:rsidR="001B057A" w:rsidRPr="0015577F">
        <w:rPr>
          <w:rFonts w:ascii="Times New Roman" w:eastAsia="Times New Roman" w:hAnsi="Times New Roman"/>
          <w:sz w:val="28"/>
          <w:szCs w:val="28"/>
        </w:rPr>
        <w:t xml:space="preserve">иперчувствительность к действующему веществу или к любому из вспомогательных веществ, перечисленных в разделе </w:t>
      </w:r>
      <w:r w:rsidR="00CB4E41" w:rsidRPr="0015577F">
        <w:rPr>
          <w:rFonts w:ascii="Times New Roman" w:eastAsia="Times New Roman" w:hAnsi="Times New Roman"/>
          <w:sz w:val="28"/>
          <w:szCs w:val="28"/>
        </w:rPr>
        <w:t>«Состав»</w:t>
      </w:r>
      <w:r w:rsidR="001B057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5BE05701" w14:textId="53710566" w:rsidR="00851E0D" w:rsidRPr="0015577F" w:rsidRDefault="00851E0D" w:rsidP="0015577F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057A" w:rsidRPr="0015577F">
        <w:rPr>
          <w:rFonts w:ascii="Times New Roman" w:eastAsia="Times New Roman" w:hAnsi="Times New Roman"/>
          <w:sz w:val="28"/>
          <w:szCs w:val="28"/>
        </w:rPr>
        <w:t>оражение печени распространенными злокачественными новообразованиями.</w:t>
      </w:r>
    </w:p>
    <w:p w14:paraId="4876A3D2" w14:textId="4F603B31" w:rsidR="00851E0D" w:rsidRPr="0015577F" w:rsidRDefault="00851E0D" w:rsidP="0015577F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057A" w:rsidRPr="0015577F">
        <w:rPr>
          <w:rFonts w:ascii="Times New Roman" w:eastAsia="Times New Roman" w:hAnsi="Times New Roman"/>
          <w:sz w:val="28"/>
          <w:szCs w:val="28"/>
        </w:rPr>
        <w:t>ериод беременности и кормления грудью.</w:t>
      </w:r>
    </w:p>
    <w:p w14:paraId="0A7793B2" w14:textId="39CBAF54" w:rsidR="001B057A" w:rsidRPr="0015577F" w:rsidRDefault="00851E0D" w:rsidP="0015577F">
      <w:pPr>
        <w:pStyle w:val="aa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1B057A" w:rsidRPr="0015577F">
        <w:rPr>
          <w:rFonts w:ascii="Times New Roman" w:eastAsia="Times New Roman" w:hAnsi="Times New Roman"/>
          <w:sz w:val="28"/>
          <w:szCs w:val="28"/>
        </w:rPr>
        <w:t>етский и подростковый возраст до 18 лет.</w:t>
      </w:r>
    </w:p>
    <w:bookmarkEnd w:id="3"/>
    <w:p w14:paraId="3E5A9974" w14:textId="77777777" w:rsidR="0015577F" w:rsidRDefault="0015577F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869D66D" w14:textId="162FAF09" w:rsidR="00851E0D" w:rsidRPr="0015577F" w:rsidRDefault="007D0E84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</w:t>
      </w:r>
      <w:bookmarkStart w:id="4" w:name="_Hlk20834595"/>
      <w:r w:rsidR="00851E0D" w:rsidRPr="001557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гими лекарственными препаратами</w:t>
      </w:r>
    </w:p>
    <w:p w14:paraId="7F53E75D" w14:textId="77777777" w:rsidR="00851E0D" w:rsidRPr="0015577F" w:rsidRDefault="001B057A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Данные исследований </w:t>
      </w:r>
      <w:r w:rsidRPr="0015577F">
        <w:rPr>
          <w:rFonts w:ascii="Times New Roman" w:eastAsia="Times New Roman" w:hAnsi="Times New Roman"/>
          <w:i/>
          <w:sz w:val="28"/>
          <w:szCs w:val="28"/>
          <w:lang w:val="en-US"/>
        </w:rPr>
        <w:t>in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i/>
          <w:sz w:val="28"/>
          <w:szCs w:val="28"/>
          <w:lang w:val="en-US"/>
        </w:rPr>
        <w:t>vitro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свидетельствуют о том, что участие изоферментов системы цитохрома Р450,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UDP</w:t>
      </w:r>
      <w:r w:rsidRPr="0015577F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глюкуронилтрансферазы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сульфотрансферазы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глютатионтрансферазы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в метаболизме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маловероятно. </w:t>
      </w:r>
    </w:p>
    <w:p w14:paraId="50DFDDD6" w14:textId="77777777" w:rsidR="00851E0D" w:rsidRPr="0015577F" w:rsidRDefault="001B057A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В связи с этим, взаимодействие </w:t>
      </w:r>
      <w:r w:rsidRPr="0015577F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in</w:t>
      </w: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i/>
          <w:iCs/>
          <w:sz w:val="28"/>
          <w:szCs w:val="28"/>
          <w:lang w:val="en-US"/>
        </w:rPr>
        <w:t>vivo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 данными ферментами, участвующими в метаболизме, не представляется клинически значимым.</w:t>
      </w:r>
    </w:p>
    <w:p w14:paraId="374E28BE" w14:textId="77777777" w:rsidR="00851E0D" w:rsidRPr="0015577F" w:rsidRDefault="001B057A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Клинически значимое ингибирующее или индуцирующее действие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на ферменты цитохрома Р450 маловероятно.</w:t>
      </w:r>
    </w:p>
    <w:p w14:paraId="4C7DDE3C" w14:textId="77777777" w:rsidR="001B057A" w:rsidRPr="0015577F" w:rsidRDefault="001B057A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Клинических исследований для изучения взаимодействия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с другими лекарственными препаратами не проводилось.</w:t>
      </w:r>
    </w:p>
    <w:bookmarkEnd w:id="4"/>
    <w:p w14:paraId="6E523E05" w14:textId="77777777" w:rsidR="0015577F" w:rsidRDefault="0015577F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D0838DC" w14:textId="34BDBEEC" w:rsidR="002E2E51" w:rsidRPr="0015577F" w:rsidRDefault="00851E0D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  <w:r w:rsidR="005F6BF1" w:rsidRPr="0015577F">
        <w:rPr>
          <w:rFonts w:ascii="Times New Roman" w:hAnsi="Times New Roman"/>
          <w:sz w:val="28"/>
          <w:szCs w:val="28"/>
        </w:rPr>
        <w:t xml:space="preserve"> </w:t>
      </w:r>
    </w:p>
    <w:p w14:paraId="4D7E2A79" w14:textId="2C6D0291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Гематологическая</w:t>
      </w: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токсичность</w:t>
      </w:r>
    </w:p>
    <w:p w14:paraId="7C30430A" w14:textId="42DD1F8F" w:rsidR="00467542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Наиболее частыми побочными эффектами при лечении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преимущественно в течение первых 2 циклов, являлись тромбоцитопения,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</w:t>
      </w:r>
      <w:r w:rsidR="00B14EE4" w:rsidRPr="0015577F">
        <w:rPr>
          <w:rFonts w:ascii="Times New Roman" w:eastAsia="Times New Roman" w:hAnsi="Times New Roman"/>
          <w:sz w:val="28"/>
          <w:szCs w:val="28"/>
          <w:lang w:val="kk-KZ"/>
        </w:rPr>
        <w:t>анемия</w:t>
      </w:r>
      <w:r w:rsidRPr="0015577F">
        <w:rPr>
          <w:rFonts w:ascii="Times New Roman" w:eastAsia="Times New Roman" w:hAnsi="Times New Roman"/>
          <w:sz w:val="28"/>
          <w:szCs w:val="28"/>
        </w:rPr>
        <w:t>. При необходимости и по меньшей мере перед каждым циклом лечения следует выполнять развернутый клинический анализ крови для контроля эффективности терапии и возможных проявлений токсичности. После введения рекомендованной дозы первого цикла доза для следующего цикла может быть снижена или ее введение может быть отложено на основании оценки надира и гематологического ответа. Пациентам рекомендуют немедленно сообщать о повышении температуры тела (лихорадке). Медицинский персонал и пациент должны получить указания о необходимости контролировать признаки и симптомы, позволяющие диагностировать кровотечение.</w:t>
      </w:r>
    </w:p>
    <w:p w14:paraId="6288C3BA" w14:textId="77777777" w:rsidR="00851E0D" w:rsidRPr="0015577F" w:rsidRDefault="00851E0D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Печеночная недостаточность</w:t>
      </w:r>
    </w:p>
    <w:p w14:paraId="33C9A265" w14:textId="6F7A34FF" w:rsidR="00467542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Специальных исследований с участием </w:t>
      </w:r>
      <w:r w:rsidR="00747BCA" w:rsidRPr="0015577F">
        <w:rPr>
          <w:rFonts w:ascii="Times New Roman" w:eastAsia="Times New Roman" w:hAnsi="Times New Roman"/>
          <w:sz w:val="28"/>
          <w:szCs w:val="28"/>
        </w:rPr>
        <w:t>пациентов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 нарушениями функции печени не проводилось. На фоне лечения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у пациентов с распространенными метастатическими поражениями печени отмечались случаи развития печеночной комы с летальным исходом, в особенности у пациентов с исходными уровнями сывороточного альбумина &lt;30 г/л. Противопоказано применение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у пациентов с распространенными злокачественными опухолями печени.</w:t>
      </w:r>
    </w:p>
    <w:p w14:paraId="5967BEC7" w14:textId="77777777" w:rsidR="00851E0D" w:rsidRPr="0015577F" w:rsidRDefault="00851E0D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Почечная недостаточность</w:t>
      </w:r>
    </w:p>
    <w:p w14:paraId="7C0EBA12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У пациентов, получавших лечение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в комбинации с другими химиотерапевтическими препаратами, отмечались нарушения функции почек, включавшие различные состояния от повышения концентрации </w:t>
      </w:r>
      <w:r w:rsidRPr="0015577F">
        <w:rPr>
          <w:rFonts w:ascii="Times New Roman" w:eastAsia="Times New Roman" w:hAnsi="Times New Roman"/>
          <w:sz w:val="28"/>
          <w:szCs w:val="28"/>
        </w:rPr>
        <w:lastRenderedPageBreak/>
        <w:t>креатинина до развития почечной недостаточности, в том числе с летальным исходом.</w:t>
      </w:r>
    </w:p>
    <w:p w14:paraId="5C054650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Кроме того, у 5 пациентов с хроническим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миелолейкозом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(ХМЛ), получавших лечение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этопозидом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отмечалось развитие почечного клубочкового ацидоза с концентрацией бикарбонатов сыворотки до &lt;20 ммоль/л в сочетании с ощелачиванием мочи 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гипокалиемией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(концентрация калия &lt;3 ммоль/л). При необъяснимом снижении концентрации бикарбонатов в сыворотке (&lt;20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ммоль/л) или повышении концентрации креатинина сыворотки крови или концентрации мочевины в крови доза препарата должна быть уменьшена или ее введение должно быть отложено. </w:t>
      </w:r>
    </w:p>
    <w:p w14:paraId="51675BFB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Пациента следует проинструктировать немедленно сообщать лечащему врачу о развитии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олигоурии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анурии.</w:t>
      </w:r>
    </w:p>
    <w:p w14:paraId="05407BC3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Не отмечено клинически значимой разницы в частоте нежелательных явлений у пациентов с нормальной и нарушенной функцией почек. Тем не менее, состояние пациентов с почечной недостаточностью следует тщательно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мониторировать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для контроля нежелательных явлений, так как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его метаболиты выводятся преимущественно почками.</w:t>
      </w:r>
    </w:p>
    <w:p w14:paraId="15D89792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Лабораторные тесты</w:t>
      </w:r>
    </w:p>
    <w:p w14:paraId="313B8A91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До начала терапии и перед началом очередного цикла лечения необходимо оценивать результаты исследований функциональной активности печени, концентрации креатинина и бикарбонатов в плазме крови. До начала терапии и, как минимум, перед каждым циклом лечения следует выполнять развернутый клинический анализ крови для контроля эффективности терапии и возможных токсических реакций.</w:t>
      </w:r>
    </w:p>
    <w:p w14:paraId="543F9DF0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Сердечно-сосудистые и легочные заболевания</w:t>
      </w:r>
    </w:p>
    <w:p w14:paraId="279AE20C" w14:textId="6A6F69FD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Пациенты, страдающие тяжелой застойной сердечной недостаточностью, клинически нестабильным заболеванием сердца или заболеваниями легких, не были включены в основные регистрационные исследования (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AZA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PH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GL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2003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CL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001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and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AZA</w:t>
      </w:r>
      <w:r w:rsidRPr="0015577F">
        <w:rPr>
          <w:rFonts w:ascii="Times New Roman" w:eastAsia="Times New Roman" w:hAnsi="Times New Roman"/>
          <w:sz w:val="28"/>
          <w:szCs w:val="28"/>
        </w:rPr>
        <w:t>-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AML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-001), поэтому безопасность и эффективность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для них не установлена. Данные, полученные в ходе недавних клинических исследований у пациентов, имеющих в анамнезе сердечно-сосудистые заболевания или заболевания легких, показали, что частота нежелательных сердечно-сосудистых явлений существенно выше на фоне терапии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поэтому данной категории </w:t>
      </w:r>
      <w:r w:rsidR="00747BCA" w:rsidRPr="0015577F">
        <w:rPr>
          <w:rFonts w:ascii="Times New Roman" w:eastAsia="Times New Roman" w:hAnsi="Times New Roman"/>
          <w:sz w:val="28"/>
          <w:szCs w:val="28"/>
        </w:rPr>
        <w:t>пациентов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препарат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следует назначать с осторожностью. До начала лечения и во время терапии препаратом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рекомендуется оценивать функциональное состояние сердечно-сосудистой и легочной системы.</w:t>
      </w:r>
    </w:p>
    <w:p w14:paraId="7BDEA260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noProof/>
          <w:sz w:val="28"/>
          <w:szCs w:val="28"/>
        </w:rPr>
        <w:t>Некротизирующий фасциит</w:t>
      </w:r>
    </w:p>
    <w:p w14:paraId="270829AC" w14:textId="4DFF6235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noProof/>
          <w:sz w:val="28"/>
          <w:szCs w:val="28"/>
        </w:rPr>
        <w:t xml:space="preserve">Некротизирующий фасциит, в том числе с летальным исходом, регистрировался у пациентов на фоне применения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noProof/>
          <w:sz w:val="28"/>
          <w:szCs w:val="28"/>
        </w:rPr>
        <w:t xml:space="preserve">. Пациентам, у которых диагностирован  некротизирующий фасциит, следует прекратить терапию препаратом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noProof/>
          <w:sz w:val="28"/>
          <w:szCs w:val="28"/>
        </w:rPr>
        <w:t xml:space="preserve"> и незамедлительно начать соответствующее лечение.</w:t>
      </w:r>
      <w:r w:rsidRPr="0015577F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</w:p>
    <w:p w14:paraId="7F337B6E" w14:textId="77777777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bCs/>
          <w:i/>
          <w:sz w:val="28"/>
          <w:szCs w:val="28"/>
        </w:rPr>
        <w:lastRenderedPageBreak/>
        <w:t>Синдром лизиса опухоли</w:t>
      </w:r>
    </w:p>
    <w:p w14:paraId="751323E4" w14:textId="0E444635" w:rsidR="00851E0D" w:rsidRPr="0015577F" w:rsidRDefault="00467542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5577F">
        <w:rPr>
          <w:rFonts w:ascii="Times New Roman" w:eastAsia="Times New Roman" w:hAnsi="Times New Roman"/>
          <w:sz w:val="28"/>
          <w:szCs w:val="28"/>
        </w:rPr>
        <w:t>озможно развитие синдрома лизиса опухоли, особенно у пациентов, имеющих большую опухолевую массу. За этими пациентами должно быть организовано соответствующее наблюдение и применение общепринятых профилактических мер.</w:t>
      </w:r>
    </w:p>
    <w:p w14:paraId="56DF0664" w14:textId="77777777" w:rsidR="00B157C6" w:rsidRPr="0015577F" w:rsidRDefault="00B157C6" w:rsidP="0015577F">
      <w:pPr>
        <w:spacing w:after="0" w:line="240" w:lineRule="auto"/>
        <w:jc w:val="both"/>
        <w:outlineLvl w:val="0"/>
        <w:rPr>
          <w:rFonts w:ascii="Times New Roman" w:hAnsi="Times New Roman"/>
          <w:i/>
          <w:iCs/>
          <w:noProof/>
          <w:sz w:val="28"/>
          <w:szCs w:val="28"/>
        </w:rPr>
      </w:pPr>
      <w:bookmarkStart w:id="5" w:name="_Hlk113891457"/>
      <w:r w:rsidRPr="0015577F">
        <w:rPr>
          <w:rFonts w:ascii="Times New Roman" w:hAnsi="Times New Roman"/>
          <w:i/>
          <w:iCs/>
          <w:noProof/>
          <w:sz w:val="28"/>
          <w:szCs w:val="28"/>
        </w:rPr>
        <w:t>Дифференци</w:t>
      </w:r>
      <w:r w:rsidRPr="0015577F">
        <w:rPr>
          <w:rFonts w:ascii="Times New Roman" w:hAnsi="Times New Roman"/>
          <w:i/>
          <w:iCs/>
          <w:noProof/>
          <w:sz w:val="28"/>
          <w:szCs w:val="28"/>
          <w:lang w:val="kk-KZ"/>
        </w:rPr>
        <w:t>ровочный</w:t>
      </w:r>
      <w:r w:rsidRPr="0015577F">
        <w:rPr>
          <w:rFonts w:ascii="Times New Roman" w:hAnsi="Times New Roman"/>
          <w:i/>
          <w:iCs/>
          <w:noProof/>
          <w:sz w:val="28"/>
          <w:szCs w:val="28"/>
        </w:rPr>
        <w:t xml:space="preserve"> синдром</w:t>
      </w:r>
    </w:p>
    <w:p w14:paraId="6C460FF4" w14:textId="1FF38D93" w:rsidR="00B157C6" w:rsidRPr="0015577F" w:rsidRDefault="00B157C6" w:rsidP="0015577F">
      <w:pPr>
        <w:spacing w:after="0" w:line="240" w:lineRule="auto"/>
        <w:jc w:val="both"/>
        <w:outlineLvl w:val="0"/>
        <w:rPr>
          <w:rFonts w:ascii="Times New Roman" w:hAnsi="Times New Roman"/>
          <w:noProof/>
          <w:sz w:val="28"/>
          <w:szCs w:val="28"/>
        </w:rPr>
      </w:pPr>
      <w:r w:rsidRPr="0015577F">
        <w:rPr>
          <w:rFonts w:ascii="Times New Roman" w:hAnsi="Times New Roman"/>
          <w:noProof/>
          <w:sz w:val="28"/>
          <w:szCs w:val="28"/>
        </w:rPr>
        <w:t>Сообщалось о случаях дифференцировочного синдрома (также известного как синдром ретиноевой кислоты) у пациентов, получавших инъекционный азацитидин. Последствия дифференцировочного синдрома могут быть фатальными, а симптомы и клинические признаки включают дыхательную недостаточность, легочные инфильтраты, лихорадку, сыпь, отек легких, периферические отеки, быстрое увеличение массы тела, плевральный выпот, перикардиальный выпот, гипотензию и почечную дисфункцию (см. раздел 4.8). При первом появлении симптомов или признаков, указывающих на дифференцировочный синдром следует рассмотреть лечение высокими дозами кортикостероидов, вводимых внутривенным путем, и мониторинг гемодинамики. Следует рассмотреть вопрос о временном прекращении применения инъекционного азацитидина до исчезновения симптомов, а в случае возобновления терапии следует соблюдать осторожность.</w:t>
      </w:r>
      <w:bookmarkEnd w:id="5"/>
    </w:p>
    <w:p w14:paraId="7A54E89F" w14:textId="77777777" w:rsidR="00851E0D" w:rsidRPr="0015577F" w:rsidRDefault="00851E0D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Контрацепция</w:t>
      </w:r>
    </w:p>
    <w:p w14:paraId="266D1346" w14:textId="77777777" w:rsidR="00851E0D" w:rsidRPr="0015577F" w:rsidRDefault="00B91BF8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Мужчины и женщины, способные к зачатию, должны использовать эффективные методы контрацепции как во время лечения, так и в течение 3 месяцев после его окончания.</w:t>
      </w:r>
    </w:p>
    <w:p w14:paraId="4189337B" w14:textId="77777777" w:rsidR="00851E0D" w:rsidRPr="0015577F" w:rsidRDefault="00851E0D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Беременность</w:t>
      </w:r>
    </w:p>
    <w:p w14:paraId="4788C15C" w14:textId="1C6C0595" w:rsidR="00851E0D" w:rsidRPr="0015577F" w:rsidRDefault="00B91BF8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Не имеется достаточного объема данных о применении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</w:t>
      </w:r>
      <w:r w:rsidR="008D4849" w:rsidRPr="0015577F">
        <w:rPr>
          <w:rFonts w:ascii="Times New Roman" w:eastAsia="Times New Roman" w:hAnsi="Times New Roman"/>
          <w:sz w:val="28"/>
          <w:szCs w:val="28"/>
        </w:rPr>
        <w:t>зацитидина</w:t>
      </w:r>
      <w:proofErr w:type="spellEnd"/>
      <w:r w:rsidR="008D4849" w:rsidRPr="0015577F">
        <w:rPr>
          <w:rFonts w:ascii="Times New Roman" w:eastAsia="Times New Roman" w:hAnsi="Times New Roman"/>
          <w:sz w:val="28"/>
          <w:szCs w:val="28"/>
        </w:rPr>
        <w:t xml:space="preserve"> у беременных женщин.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Польза от лечения должна превышать возможный риск для плода в каждом отдельном случае.</w:t>
      </w:r>
    </w:p>
    <w:p w14:paraId="646ED1CB" w14:textId="77777777" w:rsidR="00851E0D" w:rsidRPr="0015577F" w:rsidRDefault="00B91BF8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>Кормление грудью</w:t>
      </w:r>
    </w:p>
    <w:p w14:paraId="0A733DC1" w14:textId="77777777" w:rsidR="00851E0D" w:rsidRPr="0015577F" w:rsidRDefault="00B91BF8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Неизвестно, проникает ли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/его метаболиты в грудное молоко. Учитывая возможные серьезные НЛР у детей, находящихся на грудном вскармливании, женщины, которым показано лечение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, должны прекратить кормление грудью.</w:t>
      </w:r>
    </w:p>
    <w:p w14:paraId="0214C2E6" w14:textId="77777777" w:rsidR="00851E0D" w:rsidRPr="0015577F" w:rsidRDefault="00B91BF8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>Фертильность</w:t>
      </w:r>
    </w:p>
    <w:p w14:paraId="7185A45A" w14:textId="69A486A7" w:rsidR="00B91BF8" w:rsidRPr="0015577F" w:rsidRDefault="00B91BF8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Не получено данных о влиянии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на фертильность человека. Мужчинам следует рекомендовать избегать зачатия детей на фоне терапии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применять надежные методы контрацепции как в период лечения, так и в течение 3 месяцев после его завершения. Перед началом лечения мужчинам следует проконсультироваться относительно возможности консервации спермы.</w:t>
      </w:r>
    </w:p>
    <w:p w14:paraId="0B186625" w14:textId="2A10C6B8" w:rsidR="00B91BF8" w:rsidRPr="0015577F" w:rsidRDefault="002E2E51" w:rsidP="0015577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577F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  <w:r w:rsidRPr="0015577F" w:rsidDel="002E2E5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B91BF8" w:rsidRPr="0015577F">
        <w:rPr>
          <w:rFonts w:ascii="Times New Roman" w:eastAsia="Times New Roman" w:hAnsi="Times New Roman"/>
          <w:iCs/>
          <w:sz w:val="28"/>
          <w:szCs w:val="28"/>
        </w:rPr>
        <w:t>Азацитидин</w:t>
      </w:r>
      <w:proofErr w:type="spellEnd"/>
      <w:r w:rsidR="00B91BF8" w:rsidRPr="0015577F">
        <w:rPr>
          <w:rFonts w:ascii="Times New Roman" w:eastAsia="Times New Roman" w:hAnsi="Times New Roman"/>
          <w:iCs/>
          <w:sz w:val="28"/>
          <w:szCs w:val="28"/>
        </w:rPr>
        <w:t xml:space="preserve"> оказывает несущественное или умеренное влияние на способность управлять транспортными средствами и работать с механизмами. Учитывая возможность развития слабости на фоне лечения </w:t>
      </w:r>
      <w:proofErr w:type="spellStart"/>
      <w:r w:rsidR="00B91BF8" w:rsidRPr="0015577F">
        <w:rPr>
          <w:rFonts w:ascii="Times New Roman" w:eastAsia="Times New Roman" w:hAnsi="Times New Roman"/>
          <w:iCs/>
          <w:sz w:val="28"/>
          <w:szCs w:val="28"/>
        </w:rPr>
        <w:t>азацитидином</w:t>
      </w:r>
      <w:proofErr w:type="spellEnd"/>
      <w:r w:rsidR="00B91BF8" w:rsidRPr="0015577F">
        <w:rPr>
          <w:rFonts w:ascii="Times New Roman" w:eastAsia="Times New Roman" w:hAnsi="Times New Roman"/>
          <w:iCs/>
          <w:sz w:val="28"/>
          <w:szCs w:val="28"/>
        </w:rPr>
        <w:t xml:space="preserve">, следует </w:t>
      </w:r>
      <w:r w:rsidR="00B91BF8" w:rsidRPr="0015577F"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соблюдать особую осторожность при управлении транспортными средствами или работе с механизмами. </w:t>
      </w:r>
    </w:p>
    <w:p w14:paraId="42135B3B" w14:textId="77777777" w:rsidR="007D0E84" w:rsidRPr="0015577F" w:rsidRDefault="007D0E84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9FAC57" w14:textId="77777777" w:rsidR="00851E0D" w:rsidRPr="0015577F" w:rsidRDefault="00851E0D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7A37181" w14:textId="7816C861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Лечение препаратом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следует проводить под наблюдением врача, имеющего опыт применения противоопухолевых препаратов. Перед введением препарата</w:t>
      </w:r>
      <w:r w:rsidR="00582CB2" w:rsidRPr="0015577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proofErr w:type="spellStart"/>
      <w:r w:rsidR="00582CB2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582CB2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необходимо назначить противорвотные препараты.</w:t>
      </w:r>
    </w:p>
    <w:p w14:paraId="14462AEC" w14:textId="6422414C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</w:rPr>
        <w:t>Режим дозирования</w:t>
      </w:r>
    </w:p>
    <w:p w14:paraId="62E95708" w14:textId="01250FC8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Рекомендуемая </w:t>
      </w:r>
      <w:r w:rsidRPr="0015577F">
        <w:rPr>
          <w:rFonts w:ascii="Times New Roman" w:eastAsia="Times New Roman" w:hAnsi="Times New Roman"/>
          <w:iCs/>
          <w:sz w:val="28"/>
          <w:szCs w:val="28"/>
        </w:rPr>
        <w:t>начальная доза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при проведении первого цикла терапии для всех </w:t>
      </w:r>
      <w:r w:rsidR="008650CB" w:rsidRPr="0015577F">
        <w:rPr>
          <w:rFonts w:ascii="Times New Roman" w:eastAsia="Times New Roman" w:hAnsi="Times New Roman"/>
          <w:sz w:val="28"/>
          <w:szCs w:val="28"/>
        </w:rPr>
        <w:t>пациентов</w:t>
      </w:r>
      <w:r w:rsidRPr="0015577F">
        <w:rPr>
          <w:rFonts w:ascii="Times New Roman" w:eastAsia="Times New Roman" w:hAnsi="Times New Roman"/>
          <w:sz w:val="28"/>
          <w:szCs w:val="28"/>
        </w:rPr>
        <w:t>, независимо от значений исходных гематологических показателей, составляет 75 мг/м</w:t>
      </w:r>
      <w:r w:rsidRPr="0015577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поверхности тела. Препарат вводится подкожно, ежедневно в течение 7 дней с последующим перерывом в 21 день (28-дневный терапевтический цикл).</w:t>
      </w:r>
    </w:p>
    <w:p w14:paraId="2CBCA9B2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>Рекомендуется провести не менее 6 терапевтических циклов. Лечение продолжается до тех пор, пока сохраняется его эффективность или до появления симптомов прогрессирования заболевания.</w:t>
      </w:r>
    </w:p>
    <w:p w14:paraId="5CC6D8B2" w14:textId="05DB0D61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В ходе наблюдения за </w:t>
      </w:r>
      <w:r w:rsidR="008650CB" w:rsidRPr="0015577F">
        <w:rPr>
          <w:rFonts w:ascii="Times New Roman" w:eastAsia="Times New Roman" w:hAnsi="Times New Roman"/>
          <w:sz w:val="28"/>
          <w:szCs w:val="28"/>
        </w:rPr>
        <w:t>пациентами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оценивают ответ со стороны показателей крови и возможные проявления токсичности, в частности, со стороны крови и почек, которые могут требовать отсрочки следующего курса лечения или снижения дозы препарата.</w:t>
      </w:r>
    </w:p>
    <w:p w14:paraId="537405FF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i/>
          <w:noProof/>
          <w:sz w:val="28"/>
          <w:szCs w:val="28"/>
        </w:rPr>
        <w:t>Лабораторные тесты</w:t>
      </w:r>
    </w:p>
    <w:p w14:paraId="2516DF9B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>До начала терапии и перед началом очередного цикла лечения необходимо оценивать результаты исследований функциональной активности печени, концентрации креатинина и бикарбонатов в плазме крови. До начала терапии и, как минимум, перед каждым циклом лечения следует выполнять развернутый клинический анализ крови для контроля эффективности терапии и возможных токсических реакций.</w:t>
      </w:r>
    </w:p>
    <w:p w14:paraId="798CFA39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Изменение дозы при выявлении симптомов гематологической токсичности</w:t>
      </w:r>
    </w:p>
    <w:p w14:paraId="30685066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>Гематологическая токсичность определяется по максимальному снижению количества клеток крови в течение данного цикла лечения (надир), если количество тромбоцитов снижается до ≤50,0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 x </w:t>
      </w:r>
      <w:r w:rsidRPr="0015577F">
        <w:rPr>
          <w:rFonts w:ascii="Times New Roman" w:eastAsia="Times New Roman" w:hAnsi="Times New Roman"/>
          <w:sz w:val="28"/>
          <w:szCs w:val="28"/>
        </w:rPr>
        <w:t>10</w:t>
      </w:r>
      <w:r w:rsidRPr="0015577F">
        <w:rPr>
          <w:rFonts w:ascii="Times New Roman" w:eastAsia="Times New Roman" w:hAnsi="Times New Roman"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sz w:val="28"/>
          <w:szCs w:val="28"/>
        </w:rPr>
        <w:t>/л и ниже и/или абсолютное число нейтрофилов (АЧН) снижается до 1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 x </w:t>
      </w:r>
      <w:r w:rsidRPr="0015577F">
        <w:rPr>
          <w:rFonts w:ascii="Times New Roman" w:eastAsia="Times New Roman" w:hAnsi="Times New Roman"/>
          <w:sz w:val="28"/>
          <w:szCs w:val="28"/>
        </w:rPr>
        <w:t>10</w:t>
      </w:r>
      <w:r w:rsidRPr="0015577F">
        <w:rPr>
          <w:rFonts w:ascii="Times New Roman" w:eastAsia="Times New Roman" w:hAnsi="Times New Roman"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sz w:val="28"/>
          <w:szCs w:val="28"/>
        </w:rPr>
        <w:t>/л и ниже.</w:t>
      </w:r>
    </w:p>
    <w:p w14:paraId="2CE11DEA" w14:textId="21F56F18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>Восстановлением считается повышение количества клеток в клеточной(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ых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) линии(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ях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), в которых наблюдалась гематологическая токсичность, на, по меньшей мере, сумму надира и половины</w:t>
      </w:r>
      <w:r w:rsidR="005E69CD" w:rsidRPr="0015577F">
        <w:rPr>
          <w:rFonts w:ascii="Times New Roman" w:eastAsia="Times New Roman" w:hAnsi="Times New Roman"/>
          <w:sz w:val="28"/>
          <w:szCs w:val="28"/>
        </w:rPr>
        <w:t xml:space="preserve"> абсолютной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разницы между исходным количеством клеток и надиром (т.е., количество клеток при восстановлении </w:t>
      </w:r>
      <w:proofErr w:type="gramStart"/>
      <w:r w:rsidRPr="0015577F">
        <w:rPr>
          <w:rFonts w:ascii="Times New Roman" w:eastAsia="Times New Roman" w:hAnsi="Times New Roman"/>
          <w:sz w:val="28"/>
          <w:szCs w:val="28"/>
        </w:rPr>
        <w:t>≥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 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надир</w:t>
      </w:r>
      <w:proofErr w:type="gramEnd"/>
      <w:r w:rsidRPr="0015577F">
        <w:rPr>
          <w:rFonts w:ascii="Times New Roman" w:eastAsia="Times New Roman" w:hAnsi="Times New Roman"/>
          <w:sz w:val="28"/>
          <w:szCs w:val="28"/>
        </w:rPr>
        <w:t xml:space="preserve"> + (0,5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 x </w:t>
      </w:r>
      <w:r w:rsidRPr="0015577F">
        <w:rPr>
          <w:rFonts w:ascii="Times New Roman" w:eastAsia="Times New Roman" w:hAnsi="Times New Roman"/>
          <w:sz w:val="28"/>
          <w:szCs w:val="28"/>
        </w:rPr>
        <w:t>[исходное количество – надир]).</w:t>
      </w:r>
    </w:p>
    <w:p w14:paraId="53457113" w14:textId="21E89C17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Пациенты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 без снижения исходных </w:t>
      </w: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(до начала терапии препаратом </w:t>
      </w:r>
      <w:proofErr w:type="spellStart"/>
      <w:r w:rsidR="00B25417" w:rsidRPr="0015577F">
        <w:rPr>
          <w:rFonts w:ascii="Times New Roman" w:eastAsia="Times New Roman" w:hAnsi="Times New Roman"/>
          <w:i/>
          <w:iCs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) </w:t>
      </w:r>
      <w:r w:rsidRPr="0015577F">
        <w:rPr>
          <w:rFonts w:ascii="Times New Roman" w:eastAsia="Times New Roman" w:hAnsi="Times New Roman"/>
          <w:i/>
          <w:sz w:val="28"/>
          <w:szCs w:val="28"/>
        </w:rPr>
        <w:t>показателей количества лейкоцитов ≥3,0 х 10</w:t>
      </w:r>
      <w:r w:rsidRPr="0015577F">
        <w:rPr>
          <w:rFonts w:ascii="Times New Roman" w:eastAsia="Times New Roman" w:hAnsi="Times New Roman"/>
          <w:i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/л, абсолютного числа нейтрофилов ≥1,5 </w:t>
      </w:r>
      <w:r w:rsidRPr="0015577F">
        <w:rPr>
          <w:rFonts w:ascii="Times New Roman" w:eastAsia="Times New Roman" w:hAnsi="Times New Roman"/>
          <w:i/>
          <w:sz w:val="28"/>
          <w:szCs w:val="28"/>
          <w:lang w:val="en-GB"/>
        </w:rPr>
        <w:t>x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 10</w:t>
      </w:r>
      <w:r w:rsidRPr="0015577F">
        <w:rPr>
          <w:rFonts w:ascii="Times New Roman" w:eastAsia="Times New Roman" w:hAnsi="Times New Roman"/>
          <w:i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/л, количества тромбоцитов ≥75,0 </w:t>
      </w:r>
      <w:r w:rsidRPr="0015577F">
        <w:rPr>
          <w:rFonts w:ascii="Times New Roman" w:eastAsia="Times New Roman" w:hAnsi="Times New Roman"/>
          <w:i/>
          <w:sz w:val="28"/>
          <w:szCs w:val="28"/>
          <w:lang w:val="en-GB"/>
        </w:rPr>
        <w:t>x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 10</w:t>
      </w:r>
      <w:r w:rsidRPr="0015577F">
        <w:rPr>
          <w:rFonts w:ascii="Times New Roman" w:eastAsia="Times New Roman" w:hAnsi="Times New Roman"/>
          <w:i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i/>
          <w:sz w:val="28"/>
          <w:szCs w:val="28"/>
        </w:rPr>
        <w:t>/л</w:t>
      </w: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14:paraId="2A0FC24A" w14:textId="15EED7B0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Если на фоне лечения препаратом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у этих пациентов появляются симптомы гематологической токсичности, следующий цикл </w:t>
      </w:r>
      <w:r w:rsidRPr="0015577F">
        <w:rPr>
          <w:rFonts w:ascii="Times New Roman" w:eastAsia="Times New Roman" w:hAnsi="Times New Roman"/>
          <w:sz w:val="28"/>
          <w:szCs w:val="28"/>
        </w:rPr>
        <w:lastRenderedPageBreak/>
        <w:t xml:space="preserve">лечения препаратом откладывается до восстановления количества тромбоцитов и абсолютного числа нейтрофилов до исходных значений. </w:t>
      </w:r>
    </w:p>
    <w:p w14:paraId="399D694D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Если продолжительность восстановительного периода не превышает 14 дней, изменения дозы препарата не требуется. </w:t>
      </w:r>
    </w:p>
    <w:p w14:paraId="66DD6F56" w14:textId="06BD4D45" w:rsidR="007F6F68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Однако, если количество клеток крови не увеличилось до необходимого уровня в течение 14 дней, доза препарата должна быть снижена согласно рекомендациям, изложенным в таблице ниже. После изменения дозы продолжительность цикла терапии должна быть восстановлена до 28 дней.</w:t>
      </w:r>
    </w:p>
    <w:p w14:paraId="7DA6BF98" w14:textId="77777777" w:rsidR="00807129" w:rsidRPr="0015577F" w:rsidRDefault="00807129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4942" w:type="pct"/>
        <w:jc w:val="center"/>
        <w:tblLook w:val="00A0" w:firstRow="1" w:lastRow="0" w:firstColumn="1" w:lastColumn="0" w:noHBand="0" w:noVBand="0"/>
      </w:tblPr>
      <w:tblGrid>
        <w:gridCol w:w="3368"/>
        <w:gridCol w:w="2386"/>
        <w:gridCol w:w="3706"/>
      </w:tblGrid>
      <w:tr w:rsidR="007F6F68" w:rsidRPr="0015577F" w14:paraId="0D78E2BA" w14:textId="77777777" w:rsidTr="00851E0D">
        <w:trPr>
          <w:jc w:val="center"/>
        </w:trPr>
        <w:tc>
          <w:tcPr>
            <w:tcW w:w="3041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051134" w14:textId="5CFDE0D6" w:rsidR="007F6F68" w:rsidRPr="0015577F" w:rsidRDefault="005E69CD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Цикл </w:t>
            </w:r>
            <w:proofErr w:type="spellStart"/>
            <w:r w:rsidR="007F6F68"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клеток</w:t>
            </w:r>
            <w:proofErr w:type="spellEnd"/>
            <w:r w:rsidR="007F6F68"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F6F68"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крови</w:t>
            </w:r>
            <w:proofErr w:type="spellEnd"/>
            <w:r w:rsidR="007F6F68"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 (надир)</w:t>
            </w:r>
          </w:p>
        </w:tc>
        <w:tc>
          <w:tcPr>
            <w:tcW w:w="19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71E55C" w14:textId="299323AF" w:rsidR="007F6F68" w:rsidRPr="0015577F" w:rsidRDefault="00130F0F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% </w:t>
            </w:r>
            <w:r w:rsidR="007F6F68"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от начальной дозы в следующем цикле, если восстановление* количества клеток крови </w:t>
            </w:r>
            <w:r w:rsidR="007F6F68" w:rsidRPr="0015577F">
              <w:rPr>
                <w:rFonts w:ascii="Times New Roman" w:eastAsia="Times New Roman" w:hAnsi="Times New Roman"/>
                <w:iCs/>
                <w:sz w:val="28"/>
                <w:szCs w:val="28"/>
              </w:rPr>
              <w:t>потребовало</w:t>
            </w:r>
            <w:r w:rsidR="007F6F68" w:rsidRPr="0015577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F6F68" w:rsidRPr="0015577F">
              <w:rPr>
                <w:rFonts w:ascii="Times New Roman" w:eastAsia="Times New Roman" w:hAnsi="Times New Roman"/>
                <w:sz w:val="28"/>
                <w:szCs w:val="28"/>
              </w:rPr>
              <w:t>больше 14 дней</w:t>
            </w:r>
          </w:p>
        </w:tc>
      </w:tr>
      <w:tr w:rsidR="007F6F68" w:rsidRPr="0015577F" w14:paraId="2E88AC6E" w14:textId="77777777" w:rsidTr="00851E0D">
        <w:trPr>
          <w:jc w:val="center"/>
        </w:trPr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EA70D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Абсолютное число нейтрофилов, АЧН (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x 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9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8160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Тромбоциты (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x 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9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/л)</w:t>
            </w:r>
          </w:p>
        </w:tc>
        <w:tc>
          <w:tcPr>
            <w:tcW w:w="19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F3032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6F68" w:rsidRPr="0015577F" w14:paraId="37E266BA" w14:textId="77777777" w:rsidTr="00851E0D">
        <w:trPr>
          <w:jc w:val="center"/>
        </w:trPr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CFA0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ind w:right="-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≤1,0 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91AE6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ind w:right="-19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≤50,0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9A100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50%</w:t>
            </w:r>
          </w:p>
        </w:tc>
      </w:tr>
      <w:tr w:rsidR="007F6F68" w:rsidRPr="0015577F" w14:paraId="3CA00F74" w14:textId="77777777" w:rsidTr="00851E0D">
        <w:trPr>
          <w:jc w:val="center"/>
        </w:trPr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AC5D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ind w:right="-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&gt;1,0 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02781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ind w:right="-19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&gt;50,0 </w:t>
            </w:r>
          </w:p>
        </w:tc>
        <w:tc>
          <w:tcPr>
            <w:tcW w:w="1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850CA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</w:tbl>
    <w:p w14:paraId="637DA636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* количество клеток при восстановлении = количество ≥ надир + (0,5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[исходное количество – надир])</w:t>
      </w:r>
    </w:p>
    <w:p w14:paraId="665E53FC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14:paraId="4BC8D9BD" w14:textId="06FFFAEC" w:rsidR="00851E0D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Пациенты со снижением исходных (до начала первой терапии препаратом </w:t>
      </w:r>
      <w:proofErr w:type="spellStart"/>
      <w:r w:rsidR="00B25417" w:rsidRPr="0015577F">
        <w:rPr>
          <w:rFonts w:ascii="Times New Roman" w:eastAsia="Times New Roman" w:hAnsi="Times New Roman"/>
          <w:i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i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i/>
          <w:sz w:val="28"/>
          <w:szCs w:val="28"/>
        </w:rPr>
        <w:t>) показателей количества лейкоцитов &lt;3,0 х 10</w:t>
      </w:r>
      <w:r w:rsidRPr="0015577F">
        <w:rPr>
          <w:rFonts w:ascii="Times New Roman" w:eastAsia="Times New Roman" w:hAnsi="Times New Roman"/>
          <w:i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/л, абсолютного числа нейтрофилов &lt;1,5 </w:t>
      </w:r>
      <w:r w:rsidRPr="0015577F">
        <w:rPr>
          <w:rFonts w:ascii="Times New Roman" w:eastAsia="Times New Roman" w:hAnsi="Times New Roman"/>
          <w:i/>
          <w:sz w:val="28"/>
          <w:szCs w:val="28"/>
          <w:lang w:val="en-GB"/>
        </w:rPr>
        <w:t>x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 10</w:t>
      </w:r>
      <w:r w:rsidRPr="0015577F">
        <w:rPr>
          <w:rFonts w:ascii="Times New Roman" w:eastAsia="Times New Roman" w:hAnsi="Times New Roman"/>
          <w:i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/л, количества тромбоцитов &lt;75,0 </w:t>
      </w:r>
      <w:r w:rsidRPr="0015577F">
        <w:rPr>
          <w:rFonts w:ascii="Times New Roman" w:eastAsia="Times New Roman" w:hAnsi="Times New Roman"/>
          <w:i/>
          <w:sz w:val="28"/>
          <w:szCs w:val="28"/>
          <w:lang w:val="en-GB"/>
        </w:rPr>
        <w:t>x</w:t>
      </w:r>
      <w:r w:rsidRPr="0015577F">
        <w:rPr>
          <w:rFonts w:ascii="Times New Roman" w:eastAsia="Times New Roman" w:hAnsi="Times New Roman"/>
          <w:i/>
          <w:sz w:val="28"/>
          <w:szCs w:val="28"/>
        </w:rPr>
        <w:t xml:space="preserve"> 10</w:t>
      </w:r>
      <w:r w:rsidRPr="0015577F">
        <w:rPr>
          <w:rFonts w:ascii="Times New Roman" w:eastAsia="Times New Roman" w:hAnsi="Times New Roman"/>
          <w:i/>
          <w:sz w:val="28"/>
          <w:szCs w:val="28"/>
          <w:vertAlign w:val="superscript"/>
        </w:rPr>
        <w:t>9</w:t>
      </w:r>
      <w:r w:rsidRPr="0015577F">
        <w:rPr>
          <w:rFonts w:ascii="Times New Roman" w:eastAsia="Times New Roman" w:hAnsi="Times New Roman"/>
          <w:i/>
          <w:sz w:val="28"/>
          <w:szCs w:val="28"/>
        </w:rPr>
        <w:t>/л</w:t>
      </w:r>
      <w:r w:rsidR="00851E0D" w:rsidRPr="0015577F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14:paraId="735616C7" w14:textId="158D5EF1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Если перед очередным циклом лечения препаратом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наблюдается снижение количества лейкоцитов или абсолютного числа нейтрофилов или тромбоцитов менее или равное 50% от их исходных значений, или более 50%, но при наличии улучшения дифференциации любого клеточного ростка, схема введения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и его доза не должны меняться.</w:t>
      </w:r>
    </w:p>
    <w:p w14:paraId="48B4B871" w14:textId="60A45357" w:rsidR="007F6F68" w:rsidRPr="0015577F" w:rsidRDefault="008650CB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Пациентам</w:t>
      </w:r>
      <w:r w:rsidR="007F6F68" w:rsidRPr="0015577F">
        <w:rPr>
          <w:rFonts w:ascii="Times New Roman" w:eastAsia="Times New Roman" w:hAnsi="Times New Roman"/>
          <w:sz w:val="28"/>
          <w:szCs w:val="28"/>
        </w:rPr>
        <w:t xml:space="preserve">, у которых количество клеток крови снизилось более чем на 50% от исходного значения при отсутствии признаков улучшения дифференциации клеточного ростка, очередной цикл лечения препаратом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="007F6F68" w:rsidRPr="0015577F">
        <w:rPr>
          <w:rFonts w:ascii="Times New Roman" w:eastAsia="Times New Roman" w:hAnsi="Times New Roman"/>
          <w:sz w:val="28"/>
          <w:szCs w:val="28"/>
        </w:rPr>
        <w:t xml:space="preserve"> должен быть отложен до восстановления абсолютного числа нейтрофилов и тромбоцитов. Если восстановление заняло не более 14 дней, корректировка дозы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="007F6F68" w:rsidRPr="0015577F">
        <w:rPr>
          <w:rFonts w:ascii="Times New Roman" w:eastAsia="Times New Roman" w:hAnsi="Times New Roman"/>
          <w:sz w:val="28"/>
          <w:szCs w:val="28"/>
        </w:rPr>
        <w:t xml:space="preserve"> не требуется. Если восстановление не было достигнуто в течение 14 дней, необходимо оценить клеточную насыщенность костного мозга. При показателе клеточной насыщенности &gt;50% изменение дозы препарата не требуется. Если клеточная насыщенность костного мозга ≤50%, лечение должно быть отложено, а доза снижена согласно рекомендациям, приведенным в таблице ниже:</w:t>
      </w:r>
    </w:p>
    <w:tbl>
      <w:tblPr>
        <w:tblpPr w:leftFromText="180" w:rightFromText="180" w:vertAnchor="text" w:horzAnchor="margin" w:tblpXSpec="center" w:tblpY="218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9"/>
        <w:gridCol w:w="3188"/>
        <w:gridCol w:w="3033"/>
      </w:tblGrid>
      <w:tr w:rsidR="007F6F68" w:rsidRPr="0015577F" w14:paraId="0B21C8C7" w14:textId="77777777" w:rsidTr="00851E0D">
        <w:trPr>
          <w:trHeight w:val="877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379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</w:pPr>
            <w:proofErr w:type="spellStart"/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  <w:t>Клеточн</w:t>
            </w:r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</w:rPr>
              <w:t>ая</w:t>
            </w:r>
            <w:proofErr w:type="spellEnd"/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  <w:t>насыщен</w:t>
            </w:r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</w:rPr>
              <w:t>ность</w:t>
            </w:r>
            <w:proofErr w:type="spellEnd"/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  <w:t>костного</w:t>
            </w:r>
            <w:proofErr w:type="spellEnd"/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  <w:lang w:val="en-GB"/>
              </w:rPr>
              <w:t>мозга</w:t>
            </w:r>
            <w:proofErr w:type="spellEnd"/>
          </w:p>
        </w:tc>
        <w:tc>
          <w:tcPr>
            <w:tcW w:w="3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C6E" w14:textId="31635337" w:rsidR="007F6F68" w:rsidRPr="0015577F" w:rsidRDefault="00C87FCF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% </w:t>
            </w:r>
            <w:r w:rsidR="007F6F68" w:rsidRPr="0015577F">
              <w:rPr>
                <w:rFonts w:ascii="Times New Roman" w:eastAsia="Times New Roman" w:hAnsi="Times New Roman"/>
                <w:iCs/>
                <w:sz w:val="28"/>
                <w:szCs w:val="28"/>
              </w:rPr>
              <w:t>от начальной дозы в следующем цикле, если восстановление* количества клеток крови потребовало больше 14 дней</w:t>
            </w:r>
          </w:p>
        </w:tc>
      </w:tr>
      <w:tr w:rsidR="007F6F68" w:rsidRPr="0015577F" w14:paraId="0B1E24D2" w14:textId="77777777" w:rsidTr="00851E0D">
        <w:trPr>
          <w:trHeight w:val="280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257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085A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</w:rPr>
              <w:t>Восстановление*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≤21 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28E1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Восстановление*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&gt;21 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день</w:t>
            </w:r>
          </w:p>
        </w:tc>
      </w:tr>
      <w:tr w:rsidR="007F6F68" w:rsidRPr="0015577F" w14:paraId="123C3E15" w14:textId="77777777" w:rsidTr="00851E0D">
        <w:trPr>
          <w:trHeight w:val="239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11E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15-50%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18C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3CB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50%</w:t>
            </w:r>
          </w:p>
        </w:tc>
      </w:tr>
      <w:tr w:rsidR="007F6F68" w:rsidRPr="0015577F" w14:paraId="3A18AD82" w14:textId="77777777" w:rsidTr="00851E0D">
        <w:trPr>
          <w:trHeight w:val="86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E82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&lt;15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184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8F2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33%</w:t>
            </w:r>
          </w:p>
        </w:tc>
      </w:tr>
    </w:tbl>
    <w:p w14:paraId="5FC515CA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* количество клеток при восстановлении = количество ≥ надир + (0,5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[исходное количество – надир])</w:t>
      </w:r>
    </w:p>
    <w:p w14:paraId="26E1BDC0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D3940A6" w14:textId="63306361" w:rsidR="00851E0D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После изменения дозы продолжительность </w:t>
      </w:r>
      <w:r w:rsidR="005E69CD" w:rsidRPr="0015577F">
        <w:rPr>
          <w:rFonts w:ascii="Times New Roman" w:eastAsia="Times New Roman" w:hAnsi="Times New Roman"/>
          <w:sz w:val="28"/>
          <w:szCs w:val="28"/>
        </w:rPr>
        <w:t xml:space="preserve">следующего </w:t>
      </w:r>
      <w:r w:rsidRPr="0015577F">
        <w:rPr>
          <w:rFonts w:ascii="Times New Roman" w:eastAsia="Times New Roman" w:hAnsi="Times New Roman"/>
          <w:sz w:val="28"/>
          <w:szCs w:val="28"/>
        </w:rPr>
        <w:t>цикла терапии должна</w:t>
      </w:r>
      <w:r w:rsidR="00851E0D" w:rsidRPr="0015577F">
        <w:rPr>
          <w:rFonts w:ascii="Times New Roman" w:eastAsia="Times New Roman" w:hAnsi="Times New Roman"/>
          <w:sz w:val="28"/>
          <w:szCs w:val="28"/>
        </w:rPr>
        <w:t xml:space="preserve"> быть восстановлена до 28 дней.</w:t>
      </w:r>
    </w:p>
    <w:p w14:paraId="4B2E51EA" w14:textId="77777777" w:rsidR="0040054D" w:rsidRPr="0015577F" w:rsidRDefault="0040054D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5871E83C" w14:textId="2663512F" w:rsidR="00851E0D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</w:rPr>
        <w:t>Расчет индивидуальной дозы</w:t>
      </w:r>
    </w:p>
    <w:p w14:paraId="24E72E06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Общая доза в зависимости от площади поверхности тела (ППТ) может быть рассчитана следующим образом: Общая доза (мг) = Доза (мг/м</w:t>
      </w:r>
      <w:r w:rsidRPr="0015577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5577F">
        <w:rPr>
          <w:rFonts w:ascii="Times New Roman" w:eastAsia="Times New Roman" w:hAnsi="Times New Roman"/>
          <w:sz w:val="28"/>
          <w:szCs w:val="28"/>
        </w:rPr>
        <w:t>) х ППТ (м</w:t>
      </w:r>
      <w:r w:rsidRPr="0015577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5577F">
        <w:rPr>
          <w:rFonts w:ascii="Times New Roman" w:eastAsia="Times New Roman" w:hAnsi="Times New Roman"/>
          <w:sz w:val="28"/>
          <w:szCs w:val="28"/>
        </w:rPr>
        <w:t>)</w:t>
      </w:r>
    </w:p>
    <w:p w14:paraId="53DD690E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Таблица ниже приведена только в качестве примера того, как следует вычислять индивидуальную дозу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на основании среднего значения ППТ, равного 1,8 м</w:t>
      </w:r>
      <w:r w:rsidRPr="0015577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5577F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9"/>
        <w:gridCol w:w="1966"/>
        <w:gridCol w:w="2144"/>
        <w:gridCol w:w="2322"/>
      </w:tblGrid>
      <w:tr w:rsidR="007F6F68" w:rsidRPr="0015577F" w14:paraId="6BEAC416" w14:textId="77777777" w:rsidTr="001E068A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25DC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Доза мг/м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  <w:p w14:paraId="4FFD58B7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(в % от рекомендованной начальной дозы)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E9F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Общая доза, на основании значения ППТ 1,8 м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F1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Необходимое ч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исло</w:t>
            </w:r>
            <w:proofErr w:type="spellEnd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флаконов</w:t>
            </w:r>
            <w:proofErr w:type="spell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CD2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 xml:space="preserve">Необходимый общий объем разведенной суспензии </w:t>
            </w:r>
          </w:p>
        </w:tc>
      </w:tr>
      <w:tr w:rsidR="007F6F68" w:rsidRPr="0015577F" w14:paraId="738464C5" w14:textId="77777777" w:rsidTr="001E068A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AFE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>75 мг/м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az-Cyrl-AZ"/>
              </w:rPr>
              <w:t>2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 xml:space="preserve"> </w:t>
            </w:r>
          </w:p>
          <w:p w14:paraId="22225470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>(100%)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F14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135 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332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флакона</w:t>
            </w:r>
            <w:proofErr w:type="spell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018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5,4 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мл</w:t>
            </w:r>
            <w:proofErr w:type="spellEnd"/>
          </w:p>
        </w:tc>
      </w:tr>
      <w:tr w:rsidR="007F6F68" w:rsidRPr="0015577F" w14:paraId="1F78FA88" w14:textId="77777777" w:rsidTr="001E068A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16B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>37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>5 мг/м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az-Cyrl-AZ"/>
              </w:rPr>
              <w:t>2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 xml:space="preserve"> </w:t>
            </w:r>
          </w:p>
          <w:p w14:paraId="527AF66B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>(50%)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4AD3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67,5 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654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флакон</w:t>
            </w:r>
            <w:proofErr w:type="spell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103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2,7 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мл</w:t>
            </w:r>
            <w:proofErr w:type="spellEnd"/>
          </w:p>
        </w:tc>
      </w:tr>
      <w:tr w:rsidR="007F6F68" w:rsidRPr="0015577F" w14:paraId="54938BD1" w14:textId="77777777" w:rsidTr="001E068A">
        <w:trPr>
          <w:jc w:val="center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018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>25 мг/м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az-Cyrl-AZ"/>
              </w:rPr>
              <w:t>2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 xml:space="preserve"> </w:t>
            </w:r>
          </w:p>
          <w:p w14:paraId="6D1ACDDD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az-Cyrl-AZ"/>
              </w:rPr>
              <w:t>(33%)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EF2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45 </w:t>
            </w:r>
            <w:r w:rsidRPr="0015577F">
              <w:rPr>
                <w:rFonts w:ascii="Times New Roman" w:eastAsia="Times New Roman" w:hAnsi="Times New Roman"/>
                <w:sz w:val="28"/>
                <w:szCs w:val="28"/>
              </w:rPr>
              <w:t>мг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6E7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флакон</w:t>
            </w:r>
            <w:proofErr w:type="spellEnd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F5A" w14:textId="77777777" w:rsidR="007F6F68" w:rsidRPr="0015577F" w:rsidRDefault="007F6F68" w:rsidP="0015577F">
            <w:pPr>
              <w:keepLines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15577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1,8 </w:t>
            </w:r>
            <w:proofErr w:type="spellStart"/>
            <w:r w:rsidRPr="0015577F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мл</w:t>
            </w:r>
            <w:proofErr w:type="spellEnd"/>
          </w:p>
        </w:tc>
      </w:tr>
    </w:tbl>
    <w:p w14:paraId="33E3C4ED" w14:textId="77777777" w:rsidR="0015577F" w:rsidRDefault="0015577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B67AEE3" w14:textId="75D628AF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</w:rPr>
        <w:t>Особые группы пациентов</w:t>
      </w:r>
    </w:p>
    <w:p w14:paraId="13AD0BC4" w14:textId="77777777" w:rsidR="00851E0D" w:rsidRPr="0015577F" w:rsidRDefault="00851E0D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Дети</w:t>
      </w:r>
    </w:p>
    <w:p w14:paraId="70A914C0" w14:textId="58B52292" w:rsidR="00851E0D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Эффективность и безопасность применения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у детей в возрасте до 18 лет в настоящее время не установлены.</w:t>
      </w:r>
      <w:r w:rsidR="005E69CD" w:rsidRPr="0015577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18DEC95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Пациенты пожилого возраста</w:t>
      </w:r>
    </w:p>
    <w:p w14:paraId="5CB9DA15" w14:textId="6651B0CF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Пожилым </w:t>
      </w:r>
      <w:r w:rsidR="008650CB" w:rsidRPr="0015577F">
        <w:rPr>
          <w:rFonts w:ascii="Times New Roman" w:eastAsia="Times New Roman" w:hAnsi="Times New Roman"/>
          <w:sz w:val="28"/>
          <w:szCs w:val="28"/>
        </w:rPr>
        <w:t>пациентам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не требуется специального режима дозирования. Поскольку у пожилых пациентов вероятность нарушения функции почек выше, рекомендуется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мониторировать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функцию почек во время лечения.</w:t>
      </w:r>
    </w:p>
    <w:p w14:paraId="60F03C2E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Пациенты с печеночной недостаточностью</w:t>
      </w:r>
    </w:p>
    <w:p w14:paraId="25207EA1" w14:textId="3EB35733" w:rsidR="00807129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Специальных исследований у </w:t>
      </w:r>
      <w:r w:rsidR="008650CB" w:rsidRPr="0015577F">
        <w:rPr>
          <w:rFonts w:ascii="Times New Roman" w:eastAsia="Times New Roman" w:hAnsi="Times New Roman"/>
          <w:sz w:val="28"/>
          <w:szCs w:val="28"/>
        </w:rPr>
        <w:t>пациентов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 нарушениями функций печени не проводилось. </w:t>
      </w:r>
      <w:r w:rsidR="008650CB" w:rsidRPr="0015577F">
        <w:rPr>
          <w:rFonts w:ascii="Times New Roman" w:eastAsia="Times New Roman" w:hAnsi="Times New Roman"/>
          <w:sz w:val="28"/>
          <w:szCs w:val="28"/>
        </w:rPr>
        <w:t>Пациенты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 тяжелой печеночной недостаточностью должны тщательно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мониторироваться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для своевременного выявления нежелательных явлений. Данной категории </w:t>
      </w:r>
      <w:r w:rsidR="008650CB" w:rsidRPr="0015577F">
        <w:rPr>
          <w:rFonts w:ascii="Times New Roman" w:eastAsia="Times New Roman" w:hAnsi="Times New Roman"/>
          <w:sz w:val="28"/>
          <w:szCs w:val="28"/>
        </w:rPr>
        <w:t>пациентов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не требуется изменять начальную дозу препарата. Последующая модификация дозы будет зависеть от результатов исследования крови. Противопоказано применение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у пациентов с распространенными зло</w:t>
      </w:r>
      <w:r w:rsidR="00851E0D" w:rsidRPr="0015577F">
        <w:rPr>
          <w:rFonts w:ascii="Times New Roman" w:eastAsia="Times New Roman" w:hAnsi="Times New Roman"/>
          <w:sz w:val="28"/>
          <w:szCs w:val="28"/>
        </w:rPr>
        <w:t>качественными опухолями печени.</w:t>
      </w:r>
    </w:p>
    <w:p w14:paraId="1B4D0EA3" w14:textId="76374D8A" w:rsidR="00C66D66" w:rsidRPr="0015577F" w:rsidRDefault="007F6F68" w:rsidP="0015577F">
      <w:pPr>
        <w:keepLine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Пациенты с почечной недостаточностью</w:t>
      </w:r>
    </w:p>
    <w:p w14:paraId="498F50CC" w14:textId="77777777" w:rsidR="00C66D66" w:rsidRPr="0015577F" w:rsidRDefault="00C66D66" w:rsidP="0015577F">
      <w:pPr>
        <w:keepLine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lastRenderedPageBreak/>
        <w:t>У пациентов с нарушениями функции почек</w:t>
      </w:r>
      <w:r w:rsidRPr="0015577F" w:rsidDel="009464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стартовую дозу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изменять не требуется. При необъяснимом снижении концентрации бикарбонатов в сыворотке менее 20 ммоль/л доза препарата для следующего цикла терапии должна быть уменьшена на 50%. </w:t>
      </w:r>
    </w:p>
    <w:p w14:paraId="7DEB9160" w14:textId="7C5AFC55" w:rsidR="00C66D66" w:rsidRPr="0015577F" w:rsidRDefault="00C66D66" w:rsidP="0015577F">
      <w:pPr>
        <w:keepLines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При необъяснимом повышении концентрации креатинина сыворотки крови или концентрации азота мочевины в крови в 2 раза или более от исходных значений или выше верхней границы нормы очередной цикл терапии должен быть отложен до восстановления этих параметров до нормальных или исходных значений, а доза препарата в следующем цикле должна быть снижена на 50%.</w:t>
      </w:r>
    </w:p>
    <w:p w14:paraId="47C0DC66" w14:textId="77777777" w:rsidR="0015577F" w:rsidRDefault="0015577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121F8EF8" w14:textId="44067B9C" w:rsidR="002E2E51" w:rsidRPr="0015577F" w:rsidRDefault="001E6BAB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</w:rPr>
        <w:t>Метод и путь введения</w:t>
      </w:r>
    </w:p>
    <w:p w14:paraId="08BD40B9" w14:textId="1CC02386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Восстановленная суспензия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вводится подкожно (вводят иглу под углом 45-90°) в область плеча, бедра или живота с помощью иглы 25 калибра. </w:t>
      </w:r>
    </w:p>
    <w:p w14:paraId="5F68B30D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Дозы более 4 мл следует вводить в две разные области. </w:t>
      </w:r>
    </w:p>
    <w:p w14:paraId="4EA9DC41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Места инъекции должны чередоваться. Место для очередной инъекции должно находиться более чем на 2,5 см от предыдущего. </w:t>
      </w:r>
    </w:p>
    <w:p w14:paraId="65737DFB" w14:textId="77777777" w:rsidR="007F6F68" w:rsidRPr="0015577F" w:rsidRDefault="007F6F68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Препарат не следует вводить в поврежденные, гиперемированные, уплотненные или болезненные участки кожи.  </w:t>
      </w:r>
    </w:p>
    <w:p w14:paraId="1AB4F441" w14:textId="77777777" w:rsidR="007F6F68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Microsoft Sans Serif" w:hAnsi="Times New Roman"/>
          <w:sz w:val="28"/>
          <w:szCs w:val="28"/>
          <w:lang w:bidi="ru-RU"/>
        </w:rPr>
        <w:t>Весь оставшийся лекарственный препарат и отходы следует уничтожить в установленном порядке.</w:t>
      </w:r>
    </w:p>
    <w:p w14:paraId="2B0B34EF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После разведения суспензию не следует фильтровать. </w:t>
      </w:r>
    </w:p>
    <w:p w14:paraId="7E4C38DC" w14:textId="77777777" w:rsidR="0015577F" w:rsidRDefault="0015577F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14:paraId="67FA8E10" w14:textId="4CD40EE5" w:rsidR="00851E0D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Times New Roman" w:hAnsi="Times New Roman"/>
          <w:b/>
          <w:i/>
          <w:iCs/>
          <w:sz w:val="28"/>
          <w:szCs w:val="28"/>
        </w:rPr>
        <w:t>Рекомендации по приготовлению раствора и проведению инъекций</w:t>
      </w:r>
    </w:p>
    <w:p w14:paraId="1228E278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Рекомендации по технике безопасности при обращении с препаратом </w:t>
      </w:r>
    </w:p>
    <w:p w14:paraId="4584C33A" w14:textId="65AAE4F5" w:rsidR="00851E0D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Препарат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– цитотоксическое лекарственное средство, как и с другими токсическими веществами, при обращении и приготовлении суспензии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следует соблюдать осторожность. Необходимо соблюдать локальные правила для противоопухолевых препаратов по обращению и утилизации.</w:t>
      </w:r>
    </w:p>
    <w:p w14:paraId="1142534D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При контакте восстановленного раствора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с кожей следует немедленно тщательно промыть ее с мылом и водой. При контакте со слизистыми оболочками – тщательно промыть их водой.</w:t>
      </w:r>
    </w:p>
    <w:p w14:paraId="38827289" w14:textId="77777777" w:rsidR="00851E0D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Times New Roman" w:hAnsi="Times New Roman"/>
          <w:i/>
          <w:sz w:val="28"/>
          <w:szCs w:val="28"/>
          <w:u w:val="single"/>
        </w:rPr>
        <w:t>Приготовление восстановленного раствора</w:t>
      </w:r>
    </w:p>
    <w:p w14:paraId="7F70C922" w14:textId="43B451E7" w:rsidR="007F6F68" w:rsidRPr="0015577F" w:rsidRDefault="007F6F68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Препарат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следует разводить водой для инъекций. Срок хранения восстановленного препарата можно увеличить, если разводить его охлажденной (от 2 до 8 °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15577F">
        <w:rPr>
          <w:rFonts w:ascii="Times New Roman" w:eastAsia="Times New Roman" w:hAnsi="Times New Roman"/>
          <w:sz w:val="28"/>
          <w:szCs w:val="28"/>
        </w:rPr>
        <w:t>) водой для инъекций. Подробная информация о хранении восстановленного препарата представлена ниже.</w:t>
      </w:r>
    </w:p>
    <w:p w14:paraId="24E1159D" w14:textId="3200122B" w:rsidR="007F6F68" w:rsidRPr="0015577F" w:rsidRDefault="007F6F68" w:rsidP="0015577F">
      <w:pPr>
        <w:keepLines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Подготовить: флакон(ы) с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флакон с водой для инъекций, нестерильные хирургические перчатки, спиртовые салфетки, шприц для инъекций на 5 мл с иглой. </w:t>
      </w:r>
    </w:p>
    <w:p w14:paraId="6A06F00A" w14:textId="77777777" w:rsidR="007F6F68" w:rsidRPr="0015577F" w:rsidRDefault="007F6F68" w:rsidP="0015577F">
      <w:pPr>
        <w:keepLines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Набрать в шприц 4 мл воды для инъекций, убедиться в отсутствии в нем пузырьков воздуха. </w:t>
      </w:r>
    </w:p>
    <w:p w14:paraId="27339ED4" w14:textId="77777777" w:rsidR="007F6F68" w:rsidRPr="0015577F" w:rsidRDefault="007F6F68" w:rsidP="0015577F">
      <w:pPr>
        <w:keepLines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lastRenderedPageBreak/>
        <w:t xml:space="preserve">Проткнуть иглой шприца, содержащего 4 мл воды для инъекций, резиновую пробку флакона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ввести воду для инъекций во флакон. </w:t>
      </w:r>
    </w:p>
    <w:p w14:paraId="0260F3C6" w14:textId="77777777" w:rsidR="007F6F68" w:rsidRPr="0015577F" w:rsidRDefault="007F6F68" w:rsidP="0015577F">
      <w:pPr>
        <w:keepLines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После удаления шприца и иглы энергично встряхнуть флакон до получения однородной мутной суспензии. После разведения каждый мл суспензии содержит 25 мг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(100 мг/4 мл). Восстановленный препарат должен представлять собой однородную мутную суспензию, не содержащую крупных частиц. </w:t>
      </w:r>
      <w:r w:rsidRPr="0015577F">
        <w:rPr>
          <w:rFonts w:ascii="Times New Roman" w:eastAsia="Times New Roman" w:hAnsi="Times New Roman"/>
          <w:sz w:val="28"/>
          <w:szCs w:val="28"/>
          <w:u w:val="single"/>
        </w:rPr>
        <w:t>Не использовать препарат, если он содержит крупные частицы или сгустки. Не фильтровать суспензию после восстановления, так как это может привести к удалению активного вещества. Следует учесть, что некоторые адаптеры, иглы и закрытые системы снабжены встроенными фильтрами. Такие системы не должны использоваться для введения восстановленного препарата.</w:t>
      </w:r>
    </w:p>
    <w:p w14:paraId="5C74B4B7" w14:textId="77777777" w:rsidR="007F6F68" w:rsidRPr="0015577F" w:rsidRDefault="007F6F68" w:rsidP="0015577F">
      <w:pPr>
        <w:keepLines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Протереть резиновую пробку и вставить во флакон новый шприц с иглой. Затем перевернуть флакон вверх дном, убедившись, что кончик иглы находится ниже уровня жидкости. Аккуратно оттянуть назад поршень шприца и набрать в шприц количество препарата, необходимое для получения точной дозы, убедившись в отсутствии пузырьков воздуха в шприце. Вытащить из флакона шприц с иглой, иглу выбросить. </w:t>
      </w:r>
    </w:p>
    <w:p w14:paraId="0445BCC2" w14:textId="77777777" w:rsidR="007F6F68" w:rsidRPr="0015577F" w:rsidRDefault="007F6F68" w:rsidP="0015577F">
      <w:pPr>
        <w:keepLines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Плотно закрепить на шприце новую иглу для подкожных инъекций (рекомендуется игла 25 калибра). Иглу не следует прочищать перед инъекцией, чтобы снизить частоту развития местных реакций в области инъекции.</w:t>
      </w:r>
    </w:p>
    <w:p w14:paraId="026714A7" w14:textId="77777777" w:rsidR="007F6F68" w:rsidRPr="0015577F" w:rsidRDefault="007F6F68" w:rsidP="0015577F">
      <w:pPr>
        <w:keepLines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Если требуется введение более одного флакона, следует повторно выполнить</w:t>
      </w:r>
      <w:r w:rsidRPr="0015577F" w:rsidDel="00857A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</w:rPr>
        <w:t>все указанные выше этапы приготовления суспензии.  В тех случаях, когда для получения необходимой дозы нужно более одного флакона с препаратом, доза должна быть разделена на две равные части (например, если доза 150 мг = 6 мл, то набирают 2 шприца по 3 мл в каждом). Из-за того, что на стенках флакона и в игле остается часть препарата, извлечь полностью весь объем суспензии из флакона не представляется возможным.</w:t>
      </w:r>
    </w:p>
    <w:p w14:paraId="47900AA8" w14:textId="77777777" w:rsidR="007F6F68" w:rsidRPr="0015577F" w:rsidRDefault="007F6F68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5577F">
        <w:rPr>
          <w:rFonts w:ascii="Times New Roman" w:eastAsia="Times New Roman" w:hAnsi="Times New Roman"/>
          <w:sz w:val="28"/>
          <w:szCs w:val="28"/>
        </w:rPr>
        <w:t>Непосредственно перед введением необходимо повторно перевести содержимое шприца в состояние суспензии. Перед введением дайте шприцу достичь температуры 20</w:t>
      </w:r>
      <w:r w:rsidRPr="0015577F">
        <w:rPr>
          <w:rFonts w:ascii="Times New Roman" w:eastAsia="Times New Roman" w:hAnsi="Times New Roman"/>
          <w:sz w:val="28"/>
          <w:szCs w:val="28"/>
        </w:rPr>
        <w:noBreakHyphen/>
        <w:t>25°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(но не более, чем в течение 30 минут). Если время до введения суспензии превысило 30 минут, приготовленная доза должна быть уничтожена. Следует приготовить новую дозу препарата. Чтобы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ресуспендировать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препарат, энергично катайте шприц между ладонями до образования однородной суспензии белого цвета. </w:t>
      </w:r>
      <w:r w:rsidRPr="0015577F">
        <w:rPr>
          <w:rFonts w:ascii="Times New Roman" w:eastAsia="Times New Roman" w:hAnsi="Times New Roman"/>
          <w:sz w:val="28"/>
          <w:szCs w:val="28"/>
          <w:u w:val="single"/>
        </w:rPr>
        <w:t>В случае присутствия в суспензии крупных частиц или сгустков восстановленный препарат следует уничтожить.</w:t>
      </w:r>
    </w:p>
    <w:p w14:paraId="7BF5AD84" w14:textId="77777777" w:rsidR="007F6F68" w:rsidRPr="0015577F" w:rsidRDefault="00C101E2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Данный лекарственный препарат не следует смешивать с другими лекарственными препаратами, за исключением упомянутых в данном разделе.</w:t>
      </w:r>
    </w:p>
    <w:p w14:paraId="1B0E93AC" w14:textId="77777777" w:rsidR="00C101E2" w:rsidRPr="0015577F" w:rsidRDefault="00C101E2" w:rsidP="0015577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15577F">
        <w:rPr>
          <w:rFonts w:ascii="Times New Roman" w:eastAsia="Microsoft Sans Serif" w:hAnsi="Times New Roman"/>
          <w:sz w:val="28"/>
          <w:szCs w:val="28"/>
          <w:lang w:bidi="ru-RU"/>
        </w:rPr>
        <w:t>Весь оставшийся лекарственный препарат и отходы следует уничтожить в установленном порядке.</w:t>
      </w:r>
    </w:p>
    <w:p w14:paraId="04B36E27" w14:textId="77777777" w:rsidR="0015577F" w:rsidRDefault="0015577F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943E48F" w14:textId="4D2E4FAD" w:rsidR="00851E0D" w:rsidRPr="0015577F" w:rsidRDefault="009946E5" w:rsidP="001557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Меры, которые необходимо принять в случае передозировки</w:t>
      </w:r>
    </w:p>
    <w:p w14:paraId="5CA408D4" w14:textId="47C5B936" w:rsidR="00851E0D" w:rsidRPr="0015577F" w:rsidRDefault="007F6F68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Сообщалось об одном случае передозировки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в ходе клинического исследования. У </w:t>
      </w:r>
      <w:r w:rsidR="008650CB" w:rsidRPr="0015577F">
        <w:rPr>
          <w:rFonts w:ascii="Times New Roman" w:eastAsia="Times New Roman" w:hAnsi="Times New Roman"/>
          <w:sz w:val="28"/>
          <w:szCs w:val="28"/>
        </w:rPr>
        <w:t>пациента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отмечалась диарея, тошнота и рвота после однократного внутривенного введения препарата в дозе 290 мг/м</w:t>
      </w:r>
      <w:r w:rsidRPr="0015577F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15577F">
        <w:rPr>
          <w:rFonts w:ascii="Times New Roman" w:eastAsia="Times New Roman" w:hAnsi="Times New Roman"/>
          <w:sz w:val="28"/>
          <w:szCs w:val="28"/>
        </w:rPr>
        <w:t>, что почти в 4 раза</w:t>
      </w:r>
      <w:r w:rsidRPr="0015577F" w:rsidDel="002050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превышало рекомендованную начальную дозу. При передозировке рекомендуется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мониторировать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соответствующие показатели крови и, при необходимости, проводить поддерживающую симптоматическую терапию.</w:t>
      </w:r>
    </w:p>
    <w:p w14:paraId="1BF3A6C7" w14:textId="77777777" w:rsidR="007F6F68" w:rsidRPr="0015577F" w:rsidRDefault="007F6F68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Специфического антидота к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азацитидину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при его передозировке не существует.</w:t>
      </w:r>
    </w:p>
    <w:p w14:paraId="7B48F8CD" w14:textId="77777777" w:rsidR="002E2E51" w:rsidRPr="0015577F" w:rsidRDefault="002E2E51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2DAEB7B0" w14:textId="77777777" w:rsidR="002E2E51" w:rsidRPr="0015577F" w:rsidRDefault="002E2E51" w:rsidP="0015577F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15577F">
        <w:rPr>
          <w:rFonts w:ascii="Times New Roman" w:eastAsia="Times New Roman" w:hAnsi="Times New Roman"/>
          <w:noProof/>
          <w:color w:val="000000"/>
          <w:sz w:val="28"/>
          <w:szCs w:val="28"/>
        </w:rPr>
        <w:t>Если у Вас возникли дополнительные вопросы по применению этого препарата, проконсультируйтесь со своим лечащим врачом.</w:t>
      </w:r>
    </w:p>
    <w:p w14:paraId="6D51DA23" w14:textId="4D74EFA3" w:rsidR="00A12563" w:rsidRPr="0015577F" w:rsidRDefault="00A12563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0775FA4" w14:textId="77777777" w:rsidR="0040054D" w:rsidRPr="0015577F" w:rsidRDefault="001937AD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6" w:name="2175220282"/>
      <w:bookmarkStart w:id="7" w:name="_Hlk81562223"/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15577F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  <w:bookmarkStart w:id="8" w:name="_Hlk20927064"/>
      <w:bookmarkStart w:id="9" w:name="_Hlk14853895"/>
      <w:bookmarkEnd w:id="6"/>
      <w:bookmarkEnd w:id="7"/>
    </w:p>
    <w:p w14:paraId="2E9D0C67" w14:textId="77777777" w:rsidR="0040054D" w:rsidRPr="0015577F" w:rsidRDefault="0040054D" w:rsidP="00155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0" w:name="_Hlk113891802"/>
      <w:r w:rsidRPr="0015577F">
        <w:rPr>
          <w:rFonts w:ascii="Times New Roman" w:hAnsi="Times New Roman"/>
          <w:i/>
          <w:iCs/>
          <w:sz w:val="28"/>
          <w:szCs w:val="28"/>
        </w:rPr>
        <w:t>Резюме профиля безопасности</w:t>
      </w:r>
    </w:p>
    <w:bookmarkEnd w:id="10"/>
    <w:p w14:paraId="0AC86C56" w14:textId="0B2DA09D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>Взрослые пациенты с МДС, ХММЛ и ОМЛ (20-30% бластов в костном мозге)</w:t>
      </w:r>
    </w:p>
    <w:p w14:paraId="45F0C7A1" w14:textId="3540CAFC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Нежелательные реакции, возможно или вероятно, связанные с применением препарата </w:t>
      </w:r>
      <w:proofErr w:type="spellStart"/>
      <w:r w:rsidR="00B25417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B25417" w:rsidRPr="0015577F">
        <w:rPr>
          <w:rFonts w:ascii="Times New Roman" w:eastAsia="Times New Roman" w:hAnsi="Times New Roman"/>
          <w:sz w:val="28"/>
          <w:szCs w:val="28"/>
        </w:rPr>
        <w:t xml:space="preserve"> Аккорд</w:t>
      </w:r>
      <w:r w:rsidRPr="0015577F">
        <w:rPr>
          <w:rFonts w:ascii="Times New Roman" w:eastAsia="Times New Roman" w:hAnsi="Times New Roman"/>
          <w:sz w:val="28"/>
          <w:szCs w:val="28"/>
        </w:rPr>
        <w:t>, наблюдались у 97% пациентов.</w:t>
      </w:r>
    </w:p>
    <w:p w14:paraId="412741A8" w14:textId="77777777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К наиболее частым серьезным нежелательным реакциям, зарегистрированным в регистрационном исследовании (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AZA PH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GL 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2003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CL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001), относились фебрильная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(8,0%) и анемия (2,3%), также зарегистрированные в дополнительных исследованиях (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CALGB 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9221 и </w:t>
      </w:r>
      <w:r w:rsidRPr="0015577F">
        <w:rPr>
          <w:rFonts w:ascii="Times New Roman" w:eastAsia="Times New Roman" w:hAnsi="Times New Roman"/>
          <w:sz w:val="28"/>
          <w:szCs w:val="28"/>
          <w:lang w:val="en-US"/>
        </w:rPr>
        <w:t>CALGB 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8921). </w:t>
      </w:r>
    </w:p>
    <w:p w14:paraId="1A0E9F87" w14:textId="77777777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  <w:lang w:eastAsia="en-GB"/>
        </w:rPr>
        <w:t xml:space="preserve">Другие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серьезные нежелательные реакции в этих 3 исследованиях включали в себя сепсис на фоне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нейтропении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(0,8%), пневмонию (2,5%) (в некоторых случаях – с летальным исходом), тромбоцитопению (3,5%), реакции гиперчувствительности (0,25%) и кровотечения (например, кровоизлияние в мозг</w:t>
      </w:r>
      <w:r w:rsidRPr="0015577F">
        <w:rPr>
          <w:rFonts w:ascii="Times New Roman" w:eastAsia="Times New Roman" w:hAnsi="Times New Roman"/>
          <w:noProof/>
          <w:sz w:val="28"/>
          <w:szCs w:val="28"/>
        </w:rPr>
        <w:t xml:space="preserve"> [0,5%], желудочно-кишечное кровотечение [0,8%] и внутричерепное кровотечение [0,5%])</w:t>
      </w:r>
      <w:r w:rsidRPr="0015577F">
        <w:rPr>
          <w:rFonts w:ascii="Times New Roman" w:eastAsia="Times New Roman" w:hAnsi="Times New Roman"/>
          <w:sz w:val="28"/>
          <w:szCs w:val="28"/>
        </w:rPr>
        <w:t>).</w:t>
      </w:r>
    </w:p>
    <w:p w14:paraId="3E0ABB2F" w14:textId="77777777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Наиболее частыми нежелательными реакциями при лечении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являлись гематологические реакции (71,4%), включая тромбоцитопению,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нейтропению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лейкопению (обычно 3-4 степени тяжести); желудочно-кишечные осложнения (60,6%), включая тошноту и рвоту (обычно 1-2 степени тяжести), или реакции в месте введения (77,1%, обычно 1-2 степени тяжести).</w:t>
      </w:r>
    </w:p>
    <w:p w14:paraId="3CBBDC4E" w14:textId="77777777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 xml:space="preserve">Пациенты 65 лет и старше с ОМЛ и &gt;30% бластов в костнов мозге </w:t>
      </w:r>
    </w:p>
    <w:p w14:paraId="0DFF7B33" w14:textId="77777777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К наиболее частым (≥10%) серьезным НЛР, зарегистрированным в рамках клинического исследования AZA-AML-001 в группе пациентов, получавших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были отнесены фебрильная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(25%), пневмония </w:t>
      </w:r>
      <w:r w:rsidRPr="0015577F">
        <w:rPr>
          <w:rFonts w:ascii="Times New Roman" w:eastAsia="Times New Roman" w:hAnsi="Times New Roman"/>
          <w:sz w:val="28"/>
          <w:szCs w:val="28"/>
        </w:rPr>
        <w:lastRenderedPageBreak/>
        <w:t xml:space="preserve">(20,3%) 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пирексия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(10,6%). С меньшей частотой у этих пациентов встречались: сепсис (5,1%), анемия (4,2%),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нейтропенический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сепсис (3,0%), инфекции мочевыводящих путей (3,0%), тромбоцитопения (2,5%),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(2,1%), воспаление подкожной клетчатки (2,1%), головокружение (2,1%) и одышка (2,1%). </w:t>
      </w:r>
    </w:p>
    <w:p w14:paraId="1D26055B" w14:textId="77777777" w:rsidR="00851E0D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Среди серьезных НЛР с частотой ≥30% в этой же группе пациентов были отмечены нарушения со стороны ЖКТ, включая запор (41,9%), тошноту (39,8%) и диарею (36,9%) (обычно 1-2 степени тяжести), общие нарушения и реакции в месте введения, включая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пирексию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(37,7 %, обычно 1-2 степени тяжести) и гематологические нарушения, включая фебрильную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нейтропению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(32,2%), 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нейтропению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(30,1%) (обычно 3-4 степени тяжести).</w:t>
      </w:r>
    </w:p>
    <w:p w14:paraId="56A845E1" w14:textId="77777777" w:rsidR="007A220F" w:rsidRPr="0015577F" w:rsidRDefault="007A220F" w:rsidP="001557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577F">
        <w:rPr>
          <w:rFonts w:ascii="Times New Roman" w:eastAsia="Times New Roman" w:hAnsi="Times New Roman"/>
          <w:i/>
          <w:noProof/>
          <w:sz w:val="28"/>
          <w:szCs w:val="28"/>
        </w:rPr>
        <w:t>Перечень нежелательных реакций</w:t>
      </w:r>
    </w:p>
    <w:p w14:paraId="108DB011" w14:textId="77777777" w:rsidR="00851E0D" w:rsidRPr="0015577F" w:rsidRDefault="007A220F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Ниже представлены нежелательные реакции, связанные с терапией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, выявленные в основных клинических и постмаркетинговых исследо</w:t>
      </w:r>
      <w:r w:rsidR="00851E0D" w:rsidRPr="0015577F">
        <w:rPr>
          <w:rFonts w:ascii="Times New Roman" w:eastAsia="Times New Roman" w:hAnsi="Times New Roman"/>
          <w:sz w:val="28"/>
          <w:szCs w:val="28"/>
        </w:rPr>
        <w:t>ваниях у пациентов с МДС и ОМЛ.</w:t>
      </w:r>
    </w:p>
    <w:p w14:paraId="1FFEEB66" w14:textId="77777777" w:rsidR="00BB48CB" w:rsidRPr="0015577F" w:rsidRDefault="007A220F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b/>
          <w:bCs/>
          <w:sz w:val="28"/>
          <w:szCs w:val="28"/>
        </w:rPr>
        <w:t xml:space="preserve">НЛР, зарегистрированные у пациентов с МДС и острым миелоидным лейкозом на фоне лечения </w:t>
      </w:r>
      <w:proofErr w:type="spellStart"/>
      <w:r w:rsidRPr="0015577F">
        <w:rPr>
          <w:rFonts w:ascii="Times New Roman" w:eastAsia="Times New Roman" w:hAnsi="Times New Roman"/>
          <w:b/>
          <w:bCs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b/>
          <w:bCs/>
          <w:sz w:val="28"/>
          <w:szCs w:val="28"/>
        </w:rPr>
        <w:t xml:space="preserve"> (в ходе клинических исследований и в пострегистрационном периоде). </w:t>
      </w:r>
    </w:p>
    <w:p w14:paraId="11996CFE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15577F">
        <w:rPr>
          <w:rFonts w:ascii="Times New Roman" w:eastAsia="Times New Roman" w:hAnsi="Times New Roman"/>
          <w:bCs/>
          <w:i/>
          <w:sz w:val="28"/>
          <w:szCs w:val="28"/>
        </w:rPr>
        <w:t>Очень часто</w:t>
      </w:r>
    </w:p>
    <w:p w14:paraId="45F703F2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15577F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пневмония* (включая бактериальную, вирусную и грибковую),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назофарингит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305F332E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5577F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фебрильная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*, </w:t>
      </w:r>
      <w:proofErr w:type="spellStart"/>
      <w:r w:rsidR="002F36EA"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="002F36EA" w:rsidRPr="0015577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5577F">
        <w:rPr>
          <w:rFonts w:ascii="Times New Roman" w:eastAsia="Times New Roman" w:hAnsi="Times New Roman"/>
          <w:sz w:val="28"/>
          <w:szCs w:val="28"/>
        </w:rPr>
        <w:t>лейкопения, тромбоцитопения, анемия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4F3B4480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анорексия, снижение аппетита,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гипокалиемия</w:t>
      </w:r>
      <w:proofErr w:type="spellEnd"/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2FBFC5B5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бессонница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6B10771C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головокружение, головная боль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1B65C83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одышка, носовое кровотечение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C080ACB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диарея, рвота, запор, тошнота, боли в животе (включая чувство дискомфорта в эпигастральной области и в животе)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5B92FBAA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петехии, зуд (включая генерализованный), сыпь, экхимозы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30CD9495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артралгия, костно-мышечная боль (включая боли в спине, костях и конечностях)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59C9DA37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пирексия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*, повышенная утомляемость, астения, боль в груди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,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покраснение в месте введения, боль в месте введения (не уточнены)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2FC551C3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>Часто</w:t>
      </w:r>
    </w:p>
    <w:p w14:paraId="3FDE8141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5577F">
        <w:rPr>
          <w:rFonts w:ascii="Times New Roman" w:hAnsi="Times New Roman"/>
          <w:sz w:val="28"/>
          <w:szCs w:val="28"/>
          <w:lang w:eastAsia="ru-RU"/>
        </w:rPr>
        <w:t xml:space="preserve">сепсис* (включая бактериальный, вирусный и грибковый), сепсис на фоне </w:t>
      </w:r>
      <w:proofErr w:type="spellStart"/>
      <w:r w:rsidRPr="0015577F">
        <w:rPr>
          <w:rFonts w:ascii="Times New Roman" w:hAnsi="Times New Roman"/>
          <w:sz w:val="28"/>
          <w:szCs w:val="28"/>
          <w:lang w:eastAsia="ru-RU"/>
        </w:rPr>
        <w:t>нейтропении</w:t>
      </w:r>
      <w:proofErr w:type="spellEnd"/>
      <w:r w:rsidRPr="0015577F">
        <w:rPr>
          <w:rFonts w:ascii="Times New Roman" w:hAnsi="Times New Roman"/>
          <w:sz w:val="28"/>
          <w:szCs w:val="28"/>
          <w:lang w:eastAsia="ru-RU"/>
        </w:rPr>
        <w:t xml:space="preserve">*, инфекции дыхательных путей (верхних отделов и бронхит), инфекции мочевыводящих путей, воспаление подкожной клетчатки, </w:t>
      </w:r>
      <w:proofErr w:type="spellStart"/>
      <w:r w:rsidRPr="0015577F">
        <w:rPr>
          <w:rFonts w:ascii="Times New Roman" w:hAnsi="Times New Roman"/>
          <w:sz w:val="28"/>
          <w:szCs w:val="28"/>
          <w:lang w:eastAsia="ru-RU"/>
        </w:rPr>
        <w:t>дивертикулит</w:t>
      </w:r>
      <w:proofErr w:type="spellEnd"/>
      <w:r w:rsidRPr="0015577F">
        <w:rPr>
          <w:rFonts w:ascii="Times New Roman" w:hAnsi="Times New Roman"/>
          <w:sz w:val="28"/>
          <w:szCs w:val="28"/>
          <w:lang w:eastAsia="ru-RU"/>
        </w:rPr>
        <w:t>, грибковое поражение слизистой оболочки полости рта, синусит, фарингит, ринит, простой герпес, кожные инфекции</w:t>
      </w:r>
      <w:r w:rsidR="002F36EA" w:rsidRPr="0015577F">
        <w:rPr>
          <w:rFonts w:ascii="Times New Roman" w:hAnsi="Times New Roman"/>
          <w:sz w:val="28"/>
          <w:szCs w:val="28"/>
          <w:lang w:eastAsia="ru-RU"/>
        </w:rPr>
        <w:t>.</w:t>
      </w:r>
    </w:p>
    <w:p w14:paraId="5611652A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панцитопения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*, недостаточность костного мозга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462F231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дегидратация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12F23E42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спутанность сознания, тревожность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24B3893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внутричерепное кровотечение*, обморок, сонливость, летаргия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4AC64DFF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внутриглазные кровотечения, кровоизлияния в конъюнктиву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34AB0D5F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15577F">
        <w:rPr>
          <w:rFonts w:ascii="Times New Roman" w:eastAsia="Times New Roman" w:hAnsi="Times New Roman"/>
          <w:bCs/>
          <w:sz w:val="28"/>
          <w:szCs w:val="28"/>
        </w:rPr>
        <w:t>выпот в полость перикарда</w:t>
      </w:r>
      <w:r w:rsidR="002F36EA" w:rsidRPr="0015577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12CD845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15577F">
        <w:rPr>
          <w:rFonts w:ascii="Times New Roman" w:eastAsia="Times New Roman" w:hAnsi="Times New Roman"/>
          <w:sz w:val="28"/>
          <w:szCs w:val="28"/>
        </w:rPr>
        <w:t>снижение артериального давления*,</w:t>
      </w:r>
      <w:r w:rsidRPr="0015577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повышение артериального давления, </w:t>
      </w:r>
      <w:r w:rsidRPr="0015577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ортостатическая </w:t>
      </w:r>
      <w:r w:rsidRPr="0015577F">
        <w:rPr>
          <w:rFonts w:ascii="Times New Roman" w:eastAsia="Times New Roman" w:hAnsi="Times New Roman"/>
          <w:sz w:val="28"/>
          <w:szCs w:val="28"/>
        </w:rPr>
        <w:t>гипотензия, гематомы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507191FA" w14:textId="77777777" w:rsidR="00BB48CB" w:rsidRPr="0015577F" w:rsidRDefault="00BB48CB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- </w:t>
      </w:r>
      <w:r w:rsidR="00983AB0" w:rsidRPr="0015577F">
        <w:rPr>
          <w:rFonts w:ascii="Times New Roman" w:eastAsia="Times New Roman" w:hAnsi="Times New Roman"/>
          <w:sz w:val="28"/>
          <w:szCs w:val="28"/>
        </w:rPr>
        <w:t>плевральный выпот, одышка при физической нагрузке, боль в гортани и глотке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2FFA0587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желудочно-кишечное кровотечение* (включая кровотечения в полости рта), геморроидальное кровотечение, стоматит, кровоточивость десен, диспепсия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25B2E07D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п</w:t>
      </w:r>
      <w:r w:rsidRPr="0015577F">
        <w:rPr>
          <w:rFonts w:ascii="Times New Roman" w:eastAsia="Times New Roman" w:hAnsi="Times New Roman"/>
          <w:sz w:val="28"/>
          <w:szCs w:val="28"/>
          <w:lang w:val="pt-BR"/>
        </w:rPr>
        <w:t xml:space="preserve">урпура, алопеция, 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крапивница, </w:t>
      </w:r>
      <w:r w:rsidRPr="0015577F">
        <w:rPr>
          <w:rFonts w:ascii="Times New Roman" w:eastAsia="Times New Roman" w:hAnsi="Times New Roman"/>
          <w:sz w:val="28"/>
          <w:szCs w:val="28"/>
          <w:lang w:val="pt-BR"/>
        </w:rPr>
        <w:t xml:space="preserve">эритема, </w:t>
      </w:r>
      <w:r w:rsidRPr="0015577F">
        <w:rPr>
          <w:rFonts w:ascii="Times New Roman" w:eastAsia="Times New Roman" w:hAnsi="Times New Roman"/>
          <w:sz w:val="28"/>
          <w:szCs w:val="28"/>
        </w:rPr>
        <w:t>пятнистая</w:t>
      </w:r>
      <w:r w:rsidRPr="0015577F">
        <w:rPr>
          <w:rFonts w:ascii="Times New Roman" w:eastAsia="Times New Roman" w:hAnsi="Times New Roman"/>
          <w:sz w:val="28"/>
          <w:szCs w:val="28"/>
          <w:lang w:val="pt-BR"/>
        </w:rPr>
        <w:t xml:space="preserve"> сыпь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5A5AEA15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мышечные спазмы, миалгия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6CD31D30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почечная недостаточность*, гематурия, повышение уровня креатинина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A13BA69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кровоизлияние, гематома, уплотнение, сыпь, зуд, воспаление, изменение цвета кожных покровов, образование узелков и кровоточивость (в месте инъекции), недомогание, озноб, кровоточивость в месте установки катетера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61E357A3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снижение массы тела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69A5EE0A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>Нечасто</w:t>
      </w:r>
    </w:p>
    <w:p w14:paraId="1DA9F011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реакции гиперчувствительности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1B6B8E60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5577F">
        <w:rPr>
          <w:rFonts w:ascii="Times New Roman" w:eastAsia="Times New Roman" w:hAnsi="Times New Roman"/>
          <w:bCs/>
          <w:sz w:val="28"/>
          <w:szCs w:val="28"/>
        </w:rPr>
        <w:t>перикардит</w:t>
      </w:r>
      <w:r w:rsidR="002F36EA" w:rsidRPr="0015577F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841B652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15577F">
        <w:rPr>
          <w:rFonts w:ascii="Times New Roman" w:eastAsia="Times New Roman" w:hAnsi="Times New Roman"/>
          <w:sz w:val="28"/>
          <w:szCs w:val="28"/>
        </w:rPr>
        <w:t>печеночная недостаточность*, прогрессирующая печеночная кома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5BFC192A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острый фебрильный нейтрофильный дерматоз, гангренозная пиодермия</w:t>
      </w:r>
      <w:r w:rsidR="002F36EA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15E54FE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- почечный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канальцевый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ацидоз</w:t>
      </w:r>
      <w:r w:rsidR="00743EE8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4AEF9453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>Редко</w:t>
      </w:r>
    </w:p>
    <w:p w14:paraId="641A1E53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синдром лизиса опухоли</w:t>
      </w:r>
      <w:r w:rsidR="00743EE8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590A3EC0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интерстициальное заболевание легких</w:t>
      </w:r>
      <w:r w:rsidR="00743EE8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79163B77" w14:textId="77777777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- некроз в месте инъекции</w:t>
      </w:r>
      <w:r w:rsidR="00743EE8"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64F43DC3" w14:textId="32781108" w:rsidR="00983AB0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</w:rPr>
        <w:t>Частота не</w:t>
      </w:r>
      <w:r w:rsidR="00205796" w:rsidRPr="0015577F">
        <w:rPr>
          <w:rFonts w:ascii="Times New Roman" w:eastAsia="Times New Roman" w:hAnsi="Times New Roman"/>
          <w:i/>
          <w:sz w:val="28"/>
          <w:szCs w:val="28"/>
        </w:rPr>
        <w:t>известна</w:t>
      </w:r>
    </w:p>
    <w:p w14:paraId="37EAD3F4" w14:textId="3CC7DFF9" w:rsidR="0040054D" w:rsidRPr="0015577F" w:rsidRDefault="00983AB0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некротизирующий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фасциит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*</w:t>
      </w:r>
    </w:p>
    <w:p w14:paraId="5AE8213C" w14:textId="4C87F1B8" w:rsidR="0040054D" w:rsidRPr="0015577F" w:rsidRDefault="0040054D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en-US"/>
        </w:rPr>
      </w:pPr>
      <w:r w:rsidRPr="0015577F">
        <w:rPr>
          <w:rFonts w:ascii="Times New Roman" w:eastAsia="Times New Roman" w:hAnsi="Times New Roman"/>
          <w:iCs/>
          <w:sz w:val="28"/>
          <w:szCs w:val="28"/>
          <w:lang w:val="en-US"/>
        </w:rPr>
        <w:t xml:space="preserve">- </w:t>
      </w:r>
      <w:proofErr w:type="spellStart"/>
      <w:r w:rsidRPr="0015577F">
        <w:rPr>
          <w:rFonts w:ascii="Times New Roman" w:eastAsia="SimSun" w:hAnsi="Times New Roman"/>
          <w:iCs/>
          <w:sz w:val="28"/>
          <w:szCs w:val="28"/>
          <w:lang w:val="en-IN"/>
        </w:rPr>
        <w:t>дифференцировочный</w:t>
      </w:r>
      <w:proofErr w:type="spellEnd"/>
      <w:r w:rsidRPr="0015577F">
        <w:rPr>
          <w:rFonts w:ascii="Times New Roman" w:eastAsia="SimSun" w:hAnsi="Times New Roman"/>
          <w:iCs/>
          <w:sz w:val="28"/>
          <w:szCs w:val="28"/>
          <w:lang w:val="en-IN"/>
        </w:rPr>
        <w:t xml:space="preserve"> </w:t>
      </w:r>
      <w:proofErr w:type="spellStart"/>
      <w:r w:rsidRPr="0015577F">
        <w:rPr>
          <w:rFonts w:ascii="Times New Roman" w:eastAsia="SimSun" w:hAnsi="Times New Roman"/>
          <w:iCs/>
          <w:sz w:val="28"/>
          <w:szCs w:val="28"/>
          <w:lang w:val="en-IN"/>
        </w:rPr>
        <w:t>синдром</w:t>
      </w:r>
      <w:proofErr w:type="spellEnd"/>
    </w:p>
    <w:p w14:paraId="53802A7F" w14:textId="77777777" w:rsidR="00983AB0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*- редко сопровождались летальным исходом.</w:t>
      </w:r>
      <w:bookmarkStart w:id="11" w:name="_Hlk20927177"/>
      <w:bookmarkEnd w:id="8"/>
    </w:p>
    <w:p w14:paraId="6B8A54E6" w14:textId="77777777" w:rsidR="0015577F" w:rsidRDefault="0015577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14:paraId="76EB3B80" w14:textId="72957A86" w:rsidR="00983AB0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r w:rsidRPr="0015577F">
        <w:rPr>
          <w:rFonts w:ascii="Times New Roman" w:eastAsia="Times New Roman" w:hAnsi="Times New Roman"/>
          <w:bCs/>
          <w:sz w:val="28"/>
          <w:szCs w:val="28"/>
          <w:u w:val="single"/>
        </w:rPr>
        <w:t>Описание отдельных побочных реакций</w:t>
      </w:r>
    </w:p>
    <w:p w14:paraId="395696E2" w14:textId="77777777" w:rsidR="00983AB0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Гематологические</w:t>
      </w: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НЛР</w:t>
      </w: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9E73FD5" w14:textId="77777777" w:rsidR="008D6537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Наиболее частыми наблюдавшимися (≥10%) нежелательными гематологическими реакциями, связанными с применением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являлись анемия, тромбоцитопения,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фебрильная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лейкопения и были обычно 3 или 4 степени тяжести. Наибольший риск развития этих реакций отмечается во время первых двух циклов терапии, после чего они возникают с меньшей частотой у пациентов с восстановившимися гематологическими показателями. </w:t>
      </w:r>
    </w:p>
    <w:p w14:paraId="47889F27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Большинство гематологических реакций разрешается при регулярном мониторинге развернутого анализа крови, отсрочке очередного цикла лечения, профилактическом назначении антибиотиков и/или гранулоцитарного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колониестимулирующего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фактора (Г</w:t>
      </w:r>
      <w:r w:rsidRPr="0015577F">
        <w:rPr>
          <w:rFonts w:ascii="Times New Roman" w:eastAsia="Times New Roman" w:hAnsi="Times New Roman"/>
          <w:sz w:val="28"/>
          <w:szCs w:val="28"/>
        </w:rPr>
        <w:noBreakHyphen/>
        <w:t xml:space="preserve">КСФ) при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нейтропении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гемотрансфузий при анемии или тромбоцитопении в случае необходимости.</w:t>
      </w:r>
    </w:p>
    <w:p w14:paraId="5F4E6DAA" w14:textId="77777777" w:rsidR="007A220F" w:rsidRPr="0015577F" w:rsidRDefault="007A220F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noProof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Инфекции</w:t>
      </w:r>
    </w:p>
    <w:p w14:paraId="433235C6" w14:textId="77777777" w:rsidR="00205796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lastRenderedPageBreak/>
        <w:t>Миелосупрессия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может привести к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нейтропении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и повышению риска</w:t>
      </w:r>
    </w:p>
    <w:p w14:paraId="28D2FAA3" w14:textId="36E9D4CA" w:rsidR="00205796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возникновения инфекции. У пациентов на фоне лечения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</w:p>
    <w:p w14:paraId="5ED1EC12" w14:textId="51A4B613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отмечались серьезные побочные реакции, такие как сепсис, в том числе на фоне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нейтропении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и пневмония, в некоторых случаях – с летальным исходом. В случае развития инфекции требуется назначение антибактериальной терапии и гранулоцитарного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колониестимулирующего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фактора (Г</w:t>
      </w:r>
      <w:r w:rsidRPr="0015577F">
        <w:rPr>
          <w:rFonts w:ascii="Times New Roman" w:eastAsia="Times New Roman" w:hAnsi="Times New Roman"/>
          <w:sz w:val="28"/>
          <w:szCs w:val="28"/>
        </w:rPr>
        <w:noBreakHyphen/>
        <w:t xml:space="preserve">КСФ) при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нейтропении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>.</w:t>
      </w:r>
    </w:p>
    <w:p w14:paraId="365A5C29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Кровотечение</w:t>
      </w:r>
    </w:p>
    <w:p w14:paraId="438E60C5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У пациентов, получающих лечение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могут развиваться кровотечения, в том числе, относящиеся к категории серьезных побочных реакций, такие как желудочно-кишечные и внутричерепные кровотечения. </w:t>
      </w:r>
    </w:p>
    <w:p w14:paraId="4823312B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Необходимо контролировать признаки и симптомы, позволяющие диагностировать кровотечение, в особенности у пациентов с исходной или развившейся на фоне основного лечения тромбоцитопенией.</w:t>
      </w:r>
    </w:p>
    <w:p w14:paraId="09222307" w14:textId="77777777" w:rsidR="007A220F" w:rsidRPr="0015577F" w:rsidRDefault="007A220F" w:rsidP="0015577F">
      <w:pPr>
        <w:keepLines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noProof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noProof/>
          <w:sz w:val="28"/>
          <w:szCs w:val="28"/>
        </w:rPr>
        <w:t>Гиперчувствительность</w:t>
      </w:r>
    </w:p>
    <w:p w14:paraId="7DA6864D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У пациентов, получавших лечение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отмечались реакции гиперчувствительности, относящиеся к категории серьезных. В случае развития анафилактических реакций лечение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должно быть немедленно прекращено, и назначена симптоматическая терапия.</w:t>
      </w:r>
    </w:p>
    <w:p w14:paraId="787B321A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Побочные реакции со стороны кожи и подкожно-жировой клетчатки</w:t>
      </w:r>
    </w:p>
    <w:p w14:paraId="293E12A5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Большинство побочных реакций со стороны кожи и подкожно-жировой клетчатки отмечались в месте инъекции. Эти реакции никогда не приводили к отмене или уменьшению дозы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в ходе клинических исследований. Большинство реакций возникало во время двух первых циклов лечения, при этом отмечалась тенденция к их уменьшению при продолжении лечения. Такие местные нежелательные реакции, как сыпь, воспаление, зуд, эритема и поражение кожи могут потребовать назначения сопутствующей терапии антигистаминными препаратами, кортикостероидами и нестероидными противовоспалительными препаратами (НПВП).</w:t>
      </w:r>
    </w:p>
    <w:p w14:paraId="4D5E1FE1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Эти кожные реакции следует дифференцировать с инфекциями мягких тканей, развивающимися иногда в месте инъекций. Инфекции мягких тканей, включая флегмону и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некротизирующий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фасциит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в редких случаях приводящий к летальному исходу, были отмечены на фоне применения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в пострегистрационном периоде. Рекомендации по лечению инфекционных осложнений приведены выше, в разделе «Инфекции».</w:t>
      </w:r>
    </w:p>
    <w:p w14:paraId="2EF9CFB5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Нарушения со стороны желудочно-кишечного тракта</w:t>
      </w:r>
    </w:p>
    <w:p w14:paraId="40A22BD8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На фоне лечения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наиболее часто отмечались запор, диарея, тошнота и рвота. Эти НЛР купировались с помощью симптоматических средств: противорвотных – при тошноте и рвоте, антидиарейных – при диарее, и слабительных – при запоре.</w:t>
      </w:r>
    </w:p>
    <w:p w14:paraId="2878D630" w14:textId="77777777" w:rsidR="007A220F" w:rsidRPr="0015577F" w:rsidRDefault="007A220F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Нарушения функций почек</w:t>
      </w:r>
    </w:p>
    <w:p w14:paraId="3EBDA550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У пациентов, получавших лечение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азацитидином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, были отмечены нарушения функции почек, включавшие различные состояния от повышения концентрации креатинина и гематурии до почечного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канальцевого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ацидоза и почечной недостаточности, в том числе с летальным исходом.</w:t>
      </w:r>
    </w:p>
    <w:p w14:paraId="0C7BB88B" w14:textId="77777777" w:rsidR="007A220F" w:rsidRPr="0015577F" w:rsidRDefault="007A220F" w:rsidP="0015577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Нарушения функций печени </w:t>
      </w:r>
    </w:p>
    <w:p w14:paraId="0163751B" w14:textId="77777777" w:rsidR="007A220F" w:rsidRPr="0015577F" w:rsidRDefault="007A220F" w:rsidP="0015577F">
      <w:pPr>
        <w:spacing w:after="0" w:line="240" w:lineRule="auto"/>
        <w:jc w:val="both"/>
        <w:rPr>
          <w:rFonts w:ascii="Times New Roman" w:eastAsia="Verdana" w:hAnsi="Times New Roman"/>
          <w:sz w:val="28"/>
          <w:szCs w:val="28"/>
          <w:lang w:eastAsia="en-GB"/>
        </w:rPr>
      </w:pPr>
      <w:r w:rsidRPr="0015577F">
        <w:rPr>
          <w:rFonts w:ascii="Times New Roman" w:eastAsia="Verdana" w:hAnsi="Times New Roman"/>
          <w:sz w:val="28"/>
          <w:szCs w:val="28"/>
          <w:lang w:eastAsia="en-GB"/>
        </w:rPr>
        <w:t xml:space="preserve">На фоне лечения </w:t>
      </w:r>
      <w:proofErr w:type="spellStart"/>
      <w:r w:rsidRPr="0015577F">
        <w:rPr>
          <w:rFonts w:ascii="Times New Roman" w:eastAsia="Verdana" w:hAnsi="Times New Roman"/>
          <w:sz w:val="28"/>
          <w:szCs w:val="28"/>
          <w:lang w:eastAsia="en-GB"/>
        </w:rPr>
        <w:t>азацитидином</w:t>
      </w:r>
      <w:proofErr w:type="spellEnd"/>
      <w:r w:rsidRPr="0015577F">
        <w:rPr>
          <w:rFonts w:ascii="Times New Roman" w:eastAsia="Verdana" w:hAnsi="Times New Roman"/>
          <w:sz w:val="28"/>
          <w:szCs w:val="28"/>
          <w:lang w:eastAsia="en-GB"/>
        </w:rPr>
        <w:t xml:space="preserve"> у пациентов с распространенными метастатическими поражениями печени отмечены случаи развития печеночной недостаточности и прогрессирующей печеночной комы с летальным исходом.</w:t>
      </w:r>
    </w:p>
    <w:p w14:paraId="5F9040A8" w14:textId="77777777" w:rsidR="007A220F" w:rsidRPr="0015577F" w:rsidRDefault="007A220F" w:rsidP="0015577F">
      <w:pPr>
        <w:spacing w:after="0" w:line="240" w:lineRule="auto"/>
        <w:jc w:val="both"/>
        <w:rPr>
          <w:rFonts w:ascii="Times New Roman" w:eastAsia="Verdana" w:hAnsi="Times New Roman"/>
          <w:i/>
          <w:sz w:val="28"/>
          <w:szCs w:val="28"/>
          <w:lang w:eastAsia="en-GB"/>
        </w:rPr>
      </w:pPr>
      <w:r w:rsidRPr="0015577F">
        <w:rPr>
          <w:rFonts w:ascii="Times New Roman" w:eastAsia="Verdana" w:hAnsi="Times New Roman"/>
          <w:i/>
          <w:sz w:val="28"/>
          <w:szCs w:val="28"/>
          <w:lang w:eastAsia="en-GB"/>
        </w:rPr>
        <w:t>Сердечно-сосудистые НЛР</w:t>
      </w:r>
    </w:p>
    <w:p w14:paraId="3C0D618C" w14:textId="6A1953BD" w:rsidR="007A220F" w:rsidRPr="0015577F" w:rsidRDefault="007A220F" w:rsidP="0015577F">
      <w:pPr>
        <w:spacing w:after="0" w:line="240" w:lineRule="auto"/>
        <w:jc w:val="both"/>
        <w:rPr>
          <w:rFonts w:ascii="Times New Roman" w:eastAsia="Verdana" w:hAnsi="Times New Roman"/>
          <w:sz w:val="28"/>
          <w:szCs w:val="28"/>
          <w:lang w:eastAsia="en-GB"/>
        </w:rPr>
      </w:pPr>
      <w:r w:rsidRPr="0015577F">
        <w:rPr>
          <w:rFonts w:ascii="Times New Roman" w:eastAsia="Verdana" w:hAnsi="Times New Roman"/>
          <w:sz w:val="28"/>
          <w:szCs w:val="28"/>
          <w:lang w:eastAsia="en-GB"/>
        </w:rPr>
        <w:t xml:space="preserve">Данные, полученные в ходе клинических исследований у пациентов, имеющих в анамнезе сердечно-сосудистые заболевания или заболевания легких, показали, что частота нежелательных сердечно-сосудистых явлений существенно выше у пациентов с впервые диагностированным ОМЛ, получавших лечение </w:t>
      </w:r>
      <w:proofErr w:type="spellStart"/>
      <w:r w:rsidRPr="0015577F">
        <w:rPr>
          <w:rFonts w:ascii="Times New Roman" w:eastAsia="Verdana" w:hAnsi="Times New Roman"/>
          <w:sz w:val="28"/>
          <w:szCs w:val="28"/>
          <w:lang w:eastAsia="en-GB"/>
        </w:rPr>
        <w:t>азацитидином</w:t>
      </w:r>
      <w:proofErr w:type="spellEnd"/>
      <w:r w:rsidRPr="0015577F">
        <w:rPr>
          <w:rFonts w:ascii="Times New Roman" w:eastAsia="Verdana" w:hAnsi="Times New Roman"/>
          <w:sz w:val="28"/>
          <w:szCs w:val="28"/>
          <w:lang w:eastAsia="en-GB"/>
        </w:rPr>
        <w:t xml:space="preserve">. </w:t>
      </w:r>
    </w:p>
    <w:p w14:paraId="6864081B" w14:textId="77777777" w:rsidR="007A220F" w:rsidRPr="0015577F" w:rsidRDefault="007A220F" w:rsidP="0015577F">
      <w:pPr>
        <w:spacing w:after="0" w:line="240" w:lineRule="auto"/>
        <w:jc w:val="both"/>
        <w:rPr>
          <w:rFonts w:ascii="Times New Roman" w:eastAsia="Verdana" w:hAnsi="Times New Roman"/>
          <w:i/>
          <w:sz w:val="28"/>
          <w:szCs w:val="28"/>
          <w:lang w:eastAsia="en-GB"/>
        </w:rPr>
      </w:pPr>
      <w:r w:rsidRPr="0015577F">
        <w:rPr>
          <w:rFonts w:ascii="Times New Roman" w:eastAsia="Verdana" w:hAnsi="Times New Roman"/>
          <w:i/>
          <w:sz w:val="28"/>
          <w:szCs w:val="28"/>
          <w:lang w:eastAsia="en-GB"/>
        </w:rPr>
        <w:t>Пациенты пожилого возраста</w:t>
      </w:r>
    </w:p>
    <w:p w14:paraId="6097E240" w14:textId="77777777" w:rsidR="007A220F" w:rsidRPr="0015577F" w:rsidRDefault="007A220F" w:rsidP="0015577F">
      <w:pPr>
        <w:keepLines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Для пожилых пациентов ≥85 лет данные о безопасности применения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азацитидина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ограничены (в исследовании AZA-AML-001 участвовало 14 пациентов ≥85 лет [5,9%]).</w:t>
      </w:r>
    </w:p>
    <w:bookmarkEnd w:id="9"/>
    <w:bookmarkEnd w:id="11"/>
    <w:p w14:paraId="62565224" w14:textId="77777777" w:rsidR="00827BB2" w:rsidRPr="0015577F" w:rsidRDefault="00827BB2" w:rsidP="0015577F">
      <w:pPr>
        <w:pStyle w:val="ab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577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15577F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15577F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15577F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15577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49A179B" w14:textId="4ABD0A10" w:rsidR="006703A5" w:rsidRPr="0015577F" w:rsidRDefault="006703A5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807129" w:rsidRPr="0015577F">
        <w:rPr>
          <w:rFonts w:ascii="Times New Roman" w:hAnsi="Times New Roman"/>
          <w:sz w:val="28"/>
          <w:szCs w:val="28"/>
        </w:rPr>
        <w:t xml:space="preserve">Комитет медицинского и фармацевтического контроля </w:t>
      </w:r>
      <w:r w:rsidRPr="0015577F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468857B2" w14:textId="4A80A246" w:rsidR="006703A5" w:rsidRPr="0015577F" w:rsidRDefault="00DB4AE6" w:rsidP="0015577F">
      <w:pPr>
        <w:keepNext/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hyperlink r:id="rId8" w:history="1">
        <w:r w:rsidR="006703A5"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15577F">
          <w:rPr>
            <w:rStyle w:val="ae"/>
            <w:rFonts w:ascii="Times New Roman" w:hAnsi="Times New Roman"/>
            <w:sz w:val="28"/>
            <w:szCs w:val="28"/>
          </w:rPr>
          <w:t>://</w:t>
        </w:r>
        <w:r w:rsidR="006703A5"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15577F">
          <w:rPr>
            <w:rStyle w:val="ae"/>
            <w:rFonts w:ascii="Times New Roman" w:hAnsi="Times New Roman"/>
            <w:sz w:val="28"/>
            <w:szCs w:val="28"/>
          </w:rPr>
          <w:t>.</w:t>
        </w:r>
        <w:r w:rsidR="006703A5"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ndda</w:t>
        </w:r>
        <w:r w:rsidR="006703A5" w:rsidRPr="0015577F">
          <w:rPr>
            <w:rStyle w:val="ae"/>
            <w:rFonts w:ascii="Times New Roman" w:hAnsi="Times New Roman"/>
            <w:sz w:val="28"/>
            <w:szCs w:val="28"/>
          </w:rPr>
          <w:t>.</w:t>
        </w:r>
        <w:r w:rsidR="006703A5"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14:paraId="77991EF4" w14:textId="77777777" w:rsidR="006703A5" w:rsidRPr="0015577F" w:rsidRDefault="006703A5" w:rsidP="0015577F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4567EF" w14:textId="77777777" w:rsidR="008D6537" w:rsidRPr="0015577F" w:rsidRDefault="008D6537" w:rsidP="0015577F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2175220285"/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29B107E1" w14:textId="77777777" w:rsidR="008D6537" w:rsidRPr="0015577F" w:rsidRDefault="00F15E4B" w:rsidP="0015577F">
      <w:pPr>
        <w:pStyle w:val="ab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</w:rPr>
        <w:t>Состав</w:t>
      </w:r>
      <w:r w:rsidR="009946E5" w:rsidRPr="0015577F">
        <w:rPr>
          <w:rFonts w:ascii="Times New Roman" w:eastAsia="Times New Roman" w:hAnsi="Times New Roman"/>
          <w:b/>
          <w:i/>
          <w:sz w:val="28"/>
          <w:szCs w:val="28"/>
        </w:rPr>
        <w:t xml:space="preserve"> лекарственного препарата</w:t>
      </w:r>
    </w:p>
    <w:p w14:paraId="0788043B" w14:textId="77777777" w:rsidR="00BF0525" w:rsidRPr="0015577F" w:rsidRDefault="00F15E4B" w:rsidP="0015577F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Каждый флакон содержит</w:t>
      </w:r>
    </w:p>
    <w:p w14:paraId="0816F579" w14:textId="04FD702E" w:rsidR="00BF0525" w:rsidRPr="0015577F" w:rsidRDefault="006B10FC" w:rsidP="0015577F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активно</w:t>
      </w:r>
      <w:r w:rsidR="00F15E4B" w:rsidRPr="0015577F">
        <w:rPr>
          <w:rFonts w:ascii="Times New Roman" w:eastAsia="Times New Roman" w:hAnsi="Times New Roman"/>
          <w:i/>
          <w:iCs/>
          <w:sz w:val="28"/>
          <w:szCs w:val="28"/>
        </w:rPr>
        <w:t xml:space="preserve">е вещество – </w:t>
      </w:r>
      <w:proofErr w:type="spellStart"/>
      <w:r w:rsidR="00F15E4B"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="00F15E4B" w:rsidRPr="0015577F">
        <w:rPr>
          <w:rFonts w:ascii="Times New Roman" w:eastAsia="Times New Roman" w:hAnsi="Times New Roman"/>
          <w:sz w:val="28"/>
          <w:szCs w:val="28"/>
        </w:rPr>
        <w:t xml:space="preserve"> 100,0 мг</w:t>
      </w:r>
      <w:r w:rsidR="008D6537" w:rsidRPr="0015577F">
        <w:rPr>
          <w:rFonts w:ascii="Times New Roman" w:eastAsia="Times New Roman" w:hAnsi="Times New Roman"/>
          <w:sz w:val="28"/>
          <w:szCs w:val="28"/>
        </w:rPr>
        <w:t>,</w:t>
      </w:r>
    </w:p>
    <w:p w14:paraId="73D3D29C" w14:textId="77777777" w:rsidR="00BF0525" w:rsidRPr="0015577F" w:rsidRDefault="00F15E4B" w:rsidP="0015577F">
      <w:pPr>
        <w:pStyle w:val="ab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i/>
          <w:iCs/>
          <w:sz w:val="28"/>
          <w:szCs w:val="28"/>
        </w:rPr>
        <w:t>вспомогательное веществ</w:t>
      </w:r>
      <w:r w:rsidRPr="0015577F">
        <w:rPr>
          <w:rFonts w:ascii="Times New Roman" w:eastAsia="Times New Roman" w:hAnsi="Times New Roman"/>
          <w:i/>
          <w:sz w:val="28"/>
          <w:szCs w:val="28"/>
        </w:rPr>
        <w:t>о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– маннитол 100,0 мг.</w:t>
      </w:r>
    </w:p>
    <w:p w14:paraId="20439898" w14:textId="77777777" w:rsidR="00BF0525" w:rsidRPr="0015577F" w:rsidRDefault="00F15E4B" w:rsidP="0015577F">
      <w:pPr>
        <w:pStyle w:val="ab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15577F">
        <w:rPr>
          <w:rFonts w:ascii="Times New Roman" w:eastAsia="Times New Roman" w:hAnsi="Times New Roman"/>
          <w:b/>
          <w:bCs/>
          <w:i/>
          <w:sz w:val="28"/>
          <w:szCs w:val="28"/>
        </w:rPr>
        <w:t>Описание</w:t>
      </w:r>
      <w:r w:rsidR="009946E5" w:rsidRPr="0015577F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внешнего вида, запаха, вкуса</w:t>
      </w:r>
    </w:p>
    <w:p w14:paraId="2DC30053" w14:textId="0BB1B0F2" w:rsidR="00807129" w:rsidRPr="0015577F" w:rsidRDefault="00C90088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2175220287"/>
      <w:bookmarkEnd w:id="12"/>
      <w:r w:rsidRPr="0015577F">
        <w:rPr>
          <w:rFonts w:ascii="Times New Roman" w:hAnsi="Times New Roman"/>
          <w:iCs/>
          <w:sz w:val="28"/>
          <w:szCs w:val="28"/>
          <w:lang w:val="kk-KZ"/>
        </w:rPr>
        <w:t>Л</w:t>
      </w:r>
      <w:proofErr w:type="spellStart"/>
      <w:r w:rsidR="00807129" w:rsidRPr="0015577F">
        <w:rPr>
          <w:rFonts w:ascii="Times New Roman" w:hAnsi="Times New Roman"/>
          <w:iCs/>
          <w:sz w:val="28"/>
          <w:szCs w:val="28"/>
        </w:rPr>
        <w:t>иофилизированный</w:t>
      </w:r>
      <w:proofErr w:type="spellEnd"/>
      <w:r w:rsidR="00807129" w:rsidRPr="0015577F">
        <w:rPr>
          <w:rFonts w:ascii="Times New Roman" w:hAnsi="Times New Roman"/>
          <w:iCs/>
          <w:sz w:val="28"/>
          <w:szCs w:val="28"/>
        </w:rPr>
        <w:t xml:space="preserve"> порошок или масса белого цвета</w:t>
      </w:r>
    </w:p>
    <w:p w14:paraId="2CF03B4F" w14:textId="3E374410" w:rsidR="00807129" w:rsidRPr="0015577F" w:rsidRDefault="00C90088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hAnsi="Times New Roman"/>
          <w:i/>
          <w:iCs/>
          <w:sz w:val="28"/>
          <w:szCs w:val="28"/>
          <w:lang w:val="kk-KZ"/>
        </w:rPr>
        <w:t xml:space="preserve">Восстановленный препарат – </w:t>
      </w:r>
      <w:r w:rsidR="00807129" w:rsidRPr="0015577F">
        <w:rPr>
          <w:rFonts w:ascii="Times New Roman" w:hAnsi="Times New Roman"/>
          <w:iCs/>
          <w:sz w:val="28"/>
          <w:szCs w:val="28"/>
        </w:rPr>
        <w:t>однородная мутная суспензия белого цвета, без агломератов</w:t>
      </w:r>
      <w:r w:rsidR="00807129" w:rsidRPr="0015577F">
        <w:rPr>
          <w:rFonts w:ascii="Times New Roman" w:hAnsi="Times New Roman"/>
          <w:sz w:val="28"/>
          <w:szCs w:val="28"/>
        </w:rPr>
        <w:t>.</w:t>
      </w:r>
    </w:p>
    <w:p w14:paraId="75288A63" w14:textId="77777777" w:rsidR="002A4CB9" w:rsidRPr="0015577F" w:rsidRDefault="002A4CB9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51F9BE" w14:textId="77777777" w:rsidR="00BF0525" w:rsidRPr="0015577F" w:rsidRDefault="00BF0525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Hlk20927403"/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481A8929" w14:textId="77777777" w:rsidR="00807129" w:rsidRPr="0015577F" w:rsidRDefault="00807129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Препарат помещают во флакон из прозрачного бесцветного стекла (тип I) вместимостью 30 мл, укупоренный резиновой пробкой серого цвета, обжатый алюминиевой обкаткой с колпачком типа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flip-off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белого цвета.</w:t>
      </w:r>
    </w:p>
    <w:p w14:paraId="215C40DA" w14:textId="7A9098CD" w:rsidR="002A4CB9" w:rsidRPr="0015577F" w:rsidRDefault="00807129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По 1 флакону вместе с инструкцией по медицинскому применению на казахском и русском языках помещают в пачку картонную.</w:t>
      </w:r>
    </w:p>
    <w:p w14:paraId="1842F506" w14:textId="09045E1A" w:rsidR="00F70075" w:rsidRPr="0015577F" w:rsidRDefault="00F70075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Каждая пачка для контроля первого вскрытия запечатана стикером с голограммой.</w:t>
      </w:r>
    </w:p>
    <w:p w14:paraId="079AD39B" w14:textId="77777777" w:rsidR="00C87FCF" w:rsidRPr="0015577F" w:rsidRDefault="00C87FCF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14"/>
    <w:p w14:paraId="6B30A14B" w14:textId="77777777" w:rsidR="00844CE8" w:rsidRPr="0015577F" w:rsidRDefault="00844CE8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3A899A1" w14:textId="1F1BEC26" w:rsidR="00547734" w:rsidRPr="0015577F" w:rsidRDefault="00807129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2175220288"/>
      <w:bookmarkEnd w:id="13"/>
      <w:r w:rsidRPr="0015577F">
        <w:rPr>
          <w:rFonts w:ascii="Times New Roman" w:hAnsi="Times New Roman"/>
          <w:sz w:val="28"/>
          <w:szCs w:val="28"/>
        </w:rPr>
        <w:lastRenderedPageBreak/>
        <w:t>3</w:t>
      </w:r>
      <w:r w:rsidR="00547734" w:rsidRPr="0015577F">
        <w:rPr>
          <w:rFonts w:ascii="Times New Roman" w:hAnsi="Times New Roman"/>
          <w:sz w:val="28"/>
          <w:szCs w:val="28"/>
        </w:rPr>
        <w:t xml:space="preserve"> года.</w:t>
      </w:r>
    </w:p>
    <w:p w14:paraId="361A982B" w14:textId="3B9F5545" w:rsidR="00BF0525" w:rsidRPr="0015577F" w:rsidRDefault="00547734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hAnsi="Times New Roman"/>
          <w:sz w:val="28"/>
          <w:szCs w:val="28"/>
        </w:rPr>
        <w:t>Не применять по истечении срока годности</w:t>
      </w:r>
      <w:r w:rsidR="00401FF9" w:rsidRPr="0015577F">
        <w:rPr>
          <w:rFonts w:ascii="Times New Roman" w:hAnsi="Times New Roman"/>
          <w:sz w:val="28"/>
          <w:szCs w:val="28"/>
        </w:rPr>
        <w:t>!</w:t>
      </w:r>
    </w:p>
    <w:p w14:paraId="412C3C3A" w14:textId="77777777" w:rsidR="005B71F4" w:rsidRPr="0015577F" w:rsidRDefault="005B71F4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i/>
          <w:sz w:val="28"/>
          <w:szCs w:val="28"/>
          <w:u w:val="single"/>
        </w:rPr>
        <w:t>После приготовления восстановленного раствора</w:t>
      </w:r>
    </w:p>
    <w:p w14:paraId="590F6658" w14:textId="77777777" w:rsidR="005B71F4" w:rsidRPr="0015577F" w:rsidRDefault="005B71F4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 xml:space="preserve">При разведении препарата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неохлажденной водой для инъекций, разведенный лекарственный препарат остается химически и физически стабильным в течение 45 минут при температуре 25 °С и в течение 8 часов при температуре от 2 до 8 °С. Срок хранения разведенного препарата может быть продлен путем разведения его водой для инъекций, которая хранилась в холодильнике (с температурой от 2 до 8 °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). При разведении препарата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</w:rPr>
        <w:t>Азацитидин</w:t>
      </w:r>
      <w:proofErr w:type="spellEnd"/>
      <w:r w:rsidRPr="0015577F">
        <w:rPr>
          <w:rFonts w:ascii="Times New Roman" w:eastAsia="Times New Roman" w:hAnsi="Times New Roman"/>
          <w:sz w:val="28"/>
          <w:szCs w:val="28"/>
        </w:rPr>
        <w:t xml:space="preserve"> предварительно охлажденной (от 2 до 8 °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15577F">
        <w:rPr>
          <w:rFonts w:ascii="Times New Roman" w:eastAsia="Times New Roman" w:hAnsi="Times New Roman"/>
          <w:sz w:val="28"/>
          <w:szCs w:val="28"/>
        </w:rPr>
        <w:t>) водой для инъекций разведенный лекарственный препарат остается химически и физически стабильным в течение 22 часов при температуре от 2 до 8 °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ED61FAD" w14:textId="77777777" w:rsidR="005B71F4" w:rsidRPr="0015577F" w:rsidRDefault="005B71F4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С микробиологической точки зрения разведенный продукт следует использовать немедленно. Если препарат не используется сразу, ответственность за сроки и условия хранения возлагается на пользователя, но, в любом случае, препарат следует хранить не более 8 часов при температуре от 2 до 8 °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15577F">
        <w:rPr>
          <w:rFonts w:ascii="Times New Roman" w:eastAsia="Times New Roman" w:hAnsi="Times New Roman"/>
          <w:sz w:val="28"/>
          <w:szCs w:val="28"/>
        </w:rPr>
        <w:t xml:space="preserve"> при разведении неохлажденной водой для инъекций или не более 22 часов при разведении охлажденной (от 2 до</w:t>
      </w:r>
      <w:r w:rsidRPr="0015577F" w:rsidDel="00CE03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7F">
        <w:rPr>
          <w:rFonts w:ascii="Times New Roman" w:eastAsia="Times New Roman" w:hAnsi="Times New Roman"/>
          <w:sz w:val="28"/>
          <w:szCs w:val="28"/>
        </w:rPr>
        <w:t>8 °</w:t>
      </w:r>
      <w:r w:rsidRPr="0015577F">
        <w:rPr>
          <w:rFonts w:ascii="Times New Roman" w:eastAsia="Times New Roman" w:hAnsi="Times New Roman"/>
          <w:sz w:val="28"/>
          <w:szCs w:val="28"/>
          <w:lang w:val="en-GB"/>
        </w:rPr>
        <w:t>C</w:t>
      </w:r>
      <w:r w:rsidRPr="0015577F">
        <w:rPr>
          <w:rFonts w:ascii="Times New Roman" w:eastAsia="Times New Roman" w:hAnsi="Times New Roman"/>
          <w:sz w:val="28"/>
          <w:szCs w:val="28"/>
        </w:rPr>
        <w:t>) водой для инъекций.</w:t>
      </w:r>
    </w:p>
    <w:p w14:paraId="6A9715CD" w14:textId="77777777" w:rsidR="005B71F4" w:rsidRPr="0015577F" w:rsidRDefault="005B71F4" w:rsidP="00155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5163D0" w14:textId="77777777" w:rsidR="00BF0525" w:rsidRPr="0015577F" w:rsidRDefault="00D14D61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  <w:bookmarkStart w:id="16" w:name="_Hlk20927442"/>
      <w:bookmarkEnd w:id="15"/>
    </w:p>
    <w:p w14:paraId="76434CF1" w14:textId="72FB446B" w:rsidR="00807129" w:rsidRPr="0015577F" w:rsidRDefault="00807129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5577F">
        <w:rPr>
          <w:rFonts w:ascii="Times New Roman" w:eastAsia="Times New Roman" w:hAnsi="Times New Roman"/>
          <w:sz w:val="28"/>
          <w:szCs w:val="28"/>
        </w:rPr>
        <w:t>Хранить при температуре не выше 25 ºС.</w:t>
      </w:r>
    </w:p>
    <w:p w14:paraId="33929039" w14:textId="77777777" w:rsidR="00547734" w:rsidRPr="0015577F" w:rsidRDefault="00547734" w:rsidP="0015577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</w:rPr>
        <w:t>Хранить в недоступном для детей месте!</w:t>
      </w:r>
    </w:p>
    <w:bookmarkEnd w:id="16"/>
    <w:p w14:paraId="18B3B466" w14:textId="77777777" w:rsidR="006B7A90" w:rsidRPr="0015577F" w:rsidRDefault="006B7A90" w:rsidP="0015577F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1C70CA" w14:textId="77777777" w:rsidR="006C6558" w:rsidRPr="0015577F" w:rsidRDefault="006C6558" w:rsidP="0015577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577F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7B1FD703" w14:textId="77777777" w:rsidR="006C6558" w:rsidRPr="0015577F" w:rsidRDefault="00547734" w:rsidP="001557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>По рецепту.</w:t>
      </w:r>
    </w:p>
    <w:p w14:paraId="0F8881EF" w14:textId="77777777" w:rsidR="00547734" w:rsidRPr="0015577F" w:rsidRDefault="00547734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ED5A69" w14:textId="77777777" w:rsidR="00BF0525" w:rsidRPr="0015577F" w:rsidRDefault="00BF0525" w:rsidP="0015577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</w:t>
      </w:r>
      <w:r w:rsidR="00DB0FD0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роизводител</w:t>
      </w:r>
      <w:r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14:paraId="494F6606" w14:textId="77777777" w:rsidR="00C65031" w:rsidRPr="0015577F" w:rsidRDefault="00C65031" w:rsidP="001557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_Hlk58850787"/>
      <w:proofErr w:type="spellStart"/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Intas</w:t>
      </w:r>
      <w:proofErr w:type="spellEnd"/>
      <w:r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Pharmaceuticals</w:t>
      </w:r>
      <w:r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Limited</w:t>
      </w:r>
    </w:p>
    <w:p w14:paraId="0609DF55" w14:textId="62768A20" w:rsidR="00C65031" w:rsidRPr="0015577F" w:rsidRDefault="00C65031" w:rsidP="001557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18" w:name="_Hlk74060721"/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Plot No. 5-14,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>Pharmez</w:t>
      </w:r>
      <w:proofErr w:type="spellEnd"/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Near Village 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>Matoda</w:t>
      </w:r>
      <w:proofErr w:type="spellEnd"/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>, Sarkhej</w:t>
      </w:r>
      <w:r w:rsidR="006072BC"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spellStart"/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>Bavla</w:t>
      </w:r>
      <w:proofErr w:type="spellEnd"/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National Highway, No. 8</w:t>
      </w:r>
      <w:r w:rsidR="0066207F"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15577F">
        <w:rPr>
          <w:rFonts w:ascii="Times New Roman" w:eastAsia="Times New Roman" w:hAnsi="Times New Roman"/>
          <w:sz w:val="28"/>
          <w:szCs w:val="28"/>
          <w:lang w:val="en-US" w:eastAsia="ru-RU"/>
        </w:rPr>
        <w:t>A, Sanand Taluka, Ahmedabad, Gujarat, IN-382213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bookmarkEnd w:id="18"/>
      <w:r w:rsidRPr="0015577F">
        <w:rPr>
          <w:rFonts w:ascii="Times New Roman" w:hAnsi="Times New Roman"/>
          <w:color w:val="000000"/>
          <w:sz w:val="28"/>
          <w:szCs w:val="28"/>
        </w:rPr>
        <w:t>Индия</w:t>
      </w:r>
    </w:p>
    <w:p w14:paraId="43C9699D" w14:textId="77777777" w:rsidR="00C65031" w:rsidRPr="0015577F" w:rsidRDefault="00C65031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77F">
        <w:rPr>
          <w:rFonts w:ascii="Times New Roman" w:hAnsi="Times New Roman"/>
          <w:color w:val="000000"/>
          <w:sz w:val="28"/>
          <w:szCs w:val="28"/>
        </w:rPr>
        <w:t>тел:</w:t>
      </w: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 xml:space="preserve"> + 91 2717-661298</w:t>
      </w:r>
    </w:p>
    <w:p w14:paraId="20E58C8C" w14:textId="51961606" w:rsidR="00C65031" w:rsidRPr="0015577F" w:rsidRDefault="00C65031" w:rsidP="0015577F">
      <w:pPr>
        <w:autoSpaceDE w:val="0"/>
        <w:autoSpaceDN w:val="0"/>
        <w:spacing w:after="0" w:line="240" w:lineRule="auto"/>
        <w:jc w:val="both"/>
        <w:rPr>
          <w:rStyle w:val="ae"/>
          <w:rFonts w:ascii="Times New Roman" w:eastAsia="Times New Roman" w:hAnsi="Times New Roman"/>
          <w:sz w:val="28"/>
          <w:szCs w:val="28"/>
          <w:lang w:eastAsia="ru-RU"/>
        </w:rPr>
      </w:pPr>
      <w:r w:rsidRPr="0015577F">
        <w:rPr>
          <w:rFonts w:ascii="Times New Roman" w:hAnsi="Times New Roman"/>
          <w:color w:val="000000"/>
          <w:sz w:val="28"/>
          <w:szCs w:val="28"/>
        </w:rPr>
        <w:t>электронная почта:</w:t>
      </w:r>
      <w:r w:rsidRPr="001557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15577F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Birendra</w:t>
        </w:r>
        <w:r w:rsidRPr="0015577F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r w:rsidRPr="0015577F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Singh</w:t>
        </w:r>
        <w:r w:rsidRPr="0015577F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15577F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intaspharma</w:t>
        </w:r>
        <w:r w:rsidRPr="0015577F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15577F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</w:p>
    <w:p w14:paraId="05D7D6E6" w14:textId="77777777" w:rsidR="007B588C" w:rsidRPr="0015577F" w:rsidRDefault="007B588C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7"/>
    <w:p w14:paraId="4F9A867B" w14:textId="77777777" w:rsidR="00D76048" w:rsidRPr="0015577F" w:rsidRDefault="005A3C81" w:rsidP="00155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7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155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0574D0DC" w14:textId="77777777" w:rsidR="00A449AE" w:rsidRPr="0015577F" w:rsidRDefault="00A449AE" w:rsidP="001557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Accord</w:t>
      </w:r>
      <w:r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Healthcare</w:t>
      </w:r>
      <w:r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Polska</w:t>
      </w:r>
      <w:r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Sp</w:t>
      </w:r>
      <w:proofErr w:type="spellEnd"/>
      <w:r w:rsidRPr="001557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15577F">
        <w:rPr>
          <w:rFonts w:ascii="Times New Roman" w:hAnsi="Times New Roman"/>
          <w:color w:val="000000"/>
          <w:sz w:val="28"/>
          <w:szCs w:val="28"/>
        </w:rPr>
        <w:t>.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15577F">
        <w:rPr>
          <w:rFonts w:ascii="Times New Roman" w:hAnsi="Times New Roman"/>
          <w:color w:val="000000"/>
          <w:sz w:val="28"/>
          <w:szCs w:val="28"/>
        </w:rPr>
        <w:t>.</w:t>
      </w:r>
    </w:p>
    <w:p w14:paraId="6D7D3DCB" w14:textId="77777777" w:rsidR="00A449AE" w:rsidRPr="0015577F" w:rsidRDefault="00A449AE" w:rsidP="001557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77F">
        <w:rPr>
          <w:rFonts w:ascii="Times New Roman" w:hAnsi="Times New Roman"/>
          <w:color w:val="000000"/>
          <w:sz w:val="28"/>
          <w:szCs w:val="28"/>
        </w:rPr>
        <w:t xml:space="preserve">7 </w:t>
      </w:r>
      <w:proofErr w:type="spellStart"/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Tasmowa</w:t>
      </w:r>
      <w:proofErr w:type="spellEnd"/>
      <w:r w:rsidRPr="0015577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proofErr w:type="spellEnd"/>
      <w:r w:rsidRPr="0015577F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15577F">
        <w:rPr>
          <w:rFonts w:ascii="Times New Roman" w:hAnsi="Times New Roman"/>
          <w:color w:val="000000"/>
          <w:sz w:val="28"/>
          <w:szCs w:val="28"/>
          <w:lang w:val="en-US"/>
        </w:rPr>
        <w:t>Warsaw</w:t>
      </w:r>
      <w:r w:rsidRPr="0015577F">
        <w:rPr>
          <w:rFonts w:ascii="Times New Roman" w:hAnsi="Times New Roman"/>
          <w:color w:val="000000"/>
          <w:sz w:val="28"/>
          <w:szCs w:val="28"/>
        </w:rPr>
        <w:t>, 02-677, Польша</w:t>
      </w:r>
    </w:p>
    <w:p w14:paraId="78B88596" w14:textId="77777777" w:rsidR="00A449AE" w:rsidRPr="0015577F" w:rsidRDefault="00A449AE" w:rsidP="001557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577F">
        <w:rPr>
          <w:rFonts w:ascii="Times New Roman" w:hAnsi="Times New Roman"/>
          <w:color w:val="000000"/>
          <w:sz w:val="28"/>
          <w:szCs w:val="28"/>
        </w:rPr>
        <w:t xml:space="preserve">телефон/факс: +48 22 577 28 00 </w:t>
      </w:r>
    </w:p>
    <w:p w14:paraId="59E9BA9C" w14:textId="06A1C24A" w:rsidR="00A449AE" w:rsidRPr="0015577F" w:rsidRDefault="00A449AE" w:rsidP="0015577F">
      <w:pPr>
        <w:autoSpaceDE w:val="0"/>
        <w:autoSpaceDN w:val="0"/>
        <w:spacing w:after="0" w:line="240" w:lineRule="auto"/>
        <w:jc w:val="both"/>
        <w:rPr>
          <w:rStyle w:val="ae"/>
          <w:rFonts w:ascii="Times New Roman" w:hAnsi="Times New Roman"/>
          <w:sz w:val="28"/>
          <w:szCs w:val="28"/>
        </w:rPr>
      </w:pPr>
      <w:r w:rsidRPr="0015577F">
        <w:rPr>
          <w:rFonts w:ascii="Times New Roman" w:hAnsi="Times New Roman"/>
          <w:color w:val="000000"/>
          <w:sz w:val="28"/>
          <w:szCs w:val="28"/>
        </w:rPr>
        <w:t xml:space="preserve">электронная почта: </w:t>
      </w:r>
      <w:hyperlink r:id="rId10" w:history="1">
        <w:r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ra</w:t>
        </w:r>
        <w:r w:rsidRPr="0015577F">
          <w:rPr>
            <w:rStyle w:val="ae"/>
            <w:rFonts w:ascii="Times New Roman" w:hAnsi="Times New Roman"/>
            <w:sz w:val="28"/>
            <w:szCs w:val="28"/>
          </w:rPr>
          <w:t>_</w:t>
        </w:r>
        <w:r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query</w:t>
        </w:r>
        <w:r w:rsidRPr="0015577F">
          <w:rPr>
            <w:rStyle w:val="ae"/>
            <w:rFonts w:ascii="Times New Roman" w:hAnsi="Times New Roman"/>
            <w:sz w:val="28"/>
            <w:szCs w:val="28"/>
          </w:rPr>
          <w:t>@</w:t>
        </w:r>
        <w:r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accord</w:t>
        </w:r>
        <w:r w:rsidRPr="0015577F">
          <w:rPr>
            <w:rStyle w:val="ae"/>
            <w:rFonts w:ascii="Times New Roman" w:hAnsi="Times New Roman"/>
            <w:sz w:val="28"/>
            <w:szCs w:val="28"/>
          </w:rPr>
          <w:t>-</w:t>
        </w:r>
        <w:r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healthcare</w:t>
        </w:r>
        <w:r w:rsidRPr="0015577F">
          <w:rPr>
            <w:rStyle w:val="ae"/>
            <w:rFonts w:ascii="Times New Roman" w:hAnsi="Times New Roman"/>
            <w:sz w:val="28"/>
            <w:szCs w:val="28"/>
          </w:rPr>
          <w:t>.</w:t>
        </w:r>
        <w:r w:rsidRPr="0015577F">
          <w:rPr>
            <w:rStyle w:val="ae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06A75093" w14:textId="77777777" w:rsidR="007B588C" w:rsidRPr="0015577F" w:rsidRDefault="007B588C" w:rsidP="0015577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7F9CF4" w14:textId="77777777" w:rsidR="00BF0525" w:rsidRPr="0015577F" w:rsidRDefault="00F8747E" w:rsidP="0015577F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15577F">
        <w:rPr>
          <w:rFonts w:ascii="Times New Roman" w:hAnsi="Times New Roman"/>
          <w:b/>
          <w:iCs/>
          <w:sz w:val="28"/>
          <w:szCs w:val="28"/>
          <w:lang w:val="kk-KZ"/>
        </w:rPr>
        <w:t>Наименование, адрес и контактные данные (телефон, факс, электронная почта) организации</w:t>
      </w:r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Pr="0015577F">
        <w:rPr>
          <w:rFonts w:ascii="Times New Roman" w:hAnsi="Times New Roman"/>
          <w:b/>
          <w:iCs/>
          <w:color w:val="000000"/>
          <w:sz w:val="28"/>
          <w:szCs w:val="28"/>
        </w:rPr>
        <w:t>на территории Республики Казахстан, прин</w:t>
      </w:r>
      <w:r w:rsidR="00BF0525" w:rsidRPr="0015577F">
        <w:rPr>
          <w:rFonts w:ascii="Times New Roman" w:hAnsi="Times New Roman"/>
          <w:b/>
          <w:iCs/>
          <w:color w:val="000000"/>
          <w:sz w:val="28"/>
          <w:szCs w:val="28"/>
        </w:rPr>
        <w:t>имающей претензии (предложения)</w:t>
      </w:r>
      <w:r w:rsidRPr="0015577F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по </w:t>
      </w:r>
      <w:r w:rsidR="00BF0525" w:rsidRPr="0015577F">
        <w:rPr>
          <w:rFonts w:ascii="Times New Roman" w:hAnsi="Times New Roman"/>
          <w:b/>
          <w:iCs/>
          <w:color w:val="000000"/>
          <w:sz w:val="28"/>
          <w:szCs w:val="28"/>
        </w:rPr>
        <w:t>качеству лекарственных средств</w:t>
      </w:r>
      <w:r w:rsidRPr="0015577F">
        <w:rPr>
          <w:rFonts w:ascii="Times New Roman" w:hAnsi="Times New Roman"/>
          <w:b/>
          <w:iCs/>
          <w:color w:val="000000"/>
          <w:sz w:val="28"/>
          <w:szCs w:val="28"/>
        </w:rPr>
        <w:t xml:space="preserve"> от потребителей и 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ответственной</w:t>
      </w:r>
      <w:proofErr w:type="spellEnd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пострегистрационное</w:t>
      </w:r>
      <w:proofErr w:type="spellEnd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наблюдение</w:t>
      </w:r>
      <w:proofErr w:type="spellEnd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за</w:t>
      </w:r>
      <w:proofErr w:type="spellEnd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безопасностью</w:t>
      </w:r>
      <w:proofErr w:type="spellEnd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лекарственного</w:t>
      </w:r>
      <w:proofErr w:type="spellEnd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 xml:space="preserve"> </w:t>
      </w:r>
      <w:proofErr w:type="spellStart"/>
      <w:r w:rsidRPr="0015577F">
        <w:rPr>
          <w:rFonts w:ascii="Times New Roman" w:hAnsi="Times New Roman"/>
          <w:b/>
          <w:iCs/>
          <w:color w:val="000000"/>
          <w:sz w:val="28"/>
          <w:szCs w:val="28"/>
          <w:lang w:val="de-DE" w:eastAsia="de-DE"/>
        </w:rPr>
        <w:t>средства</w:t>
      </w:r>
      <w:proofErr w:type="spellEnd"/>
      <w:r w:rsidRPr="0015577F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  <w:bookmarkStart w:id="19" w:name="_Hlk20927512"/>
    </w:p>
    <w:p w14:paraId="40A378E3" w14:textId="77777777" w:rsidR="00807129" w:rsidRPr="0015577F" w:rsidRDefault="00807129" w:rsidP="0015577F">
      <w:pPr>
        <w:pStyle w:val="Default"/>
        <w:jc w:val="both"/>
        <w:rPr>
          <w:color w:val="auto"/>
          <w:sz w:val="28"/>
          <w:szCs w:val="28"/>
          <w:lang w:val="de-DE"/>
        </w:rPr>
      </w:pPr>
      <w:bookmarkStart w:id="20" w:name="_Hlk55300091"/>
      <w:bookmarkEnd w:id="0"/>
      <w:bookmarkEnd w:id="19"/>
      <w:r w:rsidRPr="0015577F">
        <w:rPr>
          <w:color w:val="auto"/>
          <w:sz w:val="28"/>
          <w:szCs w:val="28"/>
          <w:lang w:val="uk-UA"/>
        </w:rPr>
        <w:lastRenderedPageBreak/>
        <w:t>ТОО</w:t>
      </w:r>
      <w:r w:rsidRPr="0015577F">
        <w:rPr>
          <w:color w:val="auto"/>
          <w:sz w:val="28"/>
          <w:szCs w:val="28"/>
          <w:lang w:val="de-DE"/>
        </w:rPr>
        <w:t xml:space="preserve"> «Saa Pharma», </w:t>
      </w:r>
    </w:p>
    <w:p w14:paraId="5A617554" w14:textId="77777777" w:rsidR="00807129" w:rsidRPr="0015577F" w:rsidRDefault="00807129" w:rsidP="0015577F">
      <w:pPr>
        <w:pStyle w:val="Default"/>
        <w:jc w:val="both"/>
        <w:rPr>
          <w:color w:val="auto"/>
          <w:sz w:val="28"/>
          <w:szCs w:val="28"/>
        </w:rPr>
      </w:pPr>
      <w:r w:rsidRPr="0015577F">
        <w:rPr>
          <w:color w:val="auto"/>
          <w:sz w:val="28"/>
          <w:szCs w:val="28"/>
          <w:lang w:val="de-DE"/>
        </w:rPr>
        <w:t xml:space="preserve">050010, </w:t>
      </w:r>
      <w:r w:rsidRPr="0015577F">
        <w:rPr>
          <w:color w:val="auto"/>
          <w:sz w:val="28"/>
          <w:szCs w:val="28"/>
          <w:lang w:val="uk-UA"/>
        </w:rPr>
        <w:t>г</w:t>
      </w:r>
      <w:r w:rsidRPr="0015577F">
        <w:rPr>
          <w:color w:val="auto"/>
          <w:sz w:val="28"/>
          <w:szCs w:val="28"/>
          <w:lang w:val="de-DE"/>
        </w:rPr>
        <w:t xml:space="preserve">. </w:t>
      </w:r>
      <w:r w:rsidRPr="0015577F">
        <w:rPr>
          <w:color w:val="auto"/>
          <w:sz w:val="28"/>
          <w:szCs w:val="28"/>
          <w:lang w:val="uk-UA"/>
        </w:rPr>
        <w:t>Алматы</w:t>
      </w:r>
      <w:r w:rsidRPr="0015577F">
        <w:rPr>
          <w:color w:val="auto"/>
          <w:sz w:val="28"/>
          <w:szCs w:val="28"/>
          <w:lang w:val="de-DE"/>
        </w:rPr>
        <w:t xml:space="preserve">, </w:t>
      </w:r>
      <w:r w:rsidRPr="0015577F">
        <w:rPr>
          <w:color w:val="auto"/>
          <w:sz w:val="28"/>
          <w:szCs w:val="28"/>
          <w:lang w:val="uk-UA"/>
        </w:rPr>
        <w:t>пр</w:t>
      </w:r>
      <w:r w:rsidRPr="0015577F">
        <w:rPr>
          <w:color w:val="auto"/>
          <w:sz w:val="28"/>
          <w:szCs w:val="28"/>
          <w:lang w:val="de-DE"/>
        </w:rPr>
        <w:t xml:space="preserve">. </w:t>
      </w:r>
      <w:r w:rsidRPr="0015577F">
        <w:rPr>
          <w:color w:val="auto"/>
          <w:sz w:val="28"/>
          <w:szCs w:val="28"/>
        </w:rPr>
        <w:t xml:space="preserve">Достык, 38, оф. № 705, Бизнес центр KDC, </w:t>
      </w:r>
    </w:p>
    <w:p w14:paraId="67DF01B0" w14:textId="77777777" w:rsidR="00807129" w:rsidRPr="0015577F" w:rsidRDefault="00807129" w:rsidP="0015577F">
      <w:pPr>
        <w:pStyle w:val="Default"/>
        <w:jc w:val="both"/>
        <w:rPr>
          <w:color w:val="auto"/>
          <w:sz w:val="28"/>
          <w:szCs w:val="28"/>
        </w:rPr>
      </w:pPr>
      <w:r w:rsidRPr="0015577F">
        <w:rPr>
          <w:sz w:val="28"/>
          <w:szCs w:val="28"/>
          <w:lang w:val="kk-KZ"/>
        </w:rPr>
        <w:t>Телефон:</w:t>
      </w:r>
      <w:r w:rsidRPr="0015577F">
        <w:rPr>
          <w:color w:val="auto"/>
          <w:sz w:val="28"/>
          <w:szCs w:val="28"/>
        </w:rPr>
        <w:t>+7 (727) 345 10 12</w:t>
      </w:r>
    </w:p>
    <w:p w14:paraId="7150A589" w14:textId="77777777" w:rsidR="00807129" w:rsidRPr="0015577F" w:rsidRDefault="00807129" w:rsidP="0015577F">
      <w:pPr>
        <w:pStyle w:val="Default"/>
        <w:jc w:val="both"/>
        <w:rPr>
          <w:rFonts w:eastAsia="TimesNewRomanPSMT"/>
          <w:sz w:val="28"/>
          <w:szCs w:val="28"/>
          <w:lang w:eastAsia="ru-RU"/>
        </w:rPr>
      </w:pPr>
      <w:r w:rsidRPr="0015577F">
        <w:rPr>
          <w:sz w:val="28"/>
          <w:szCs w:val="28"/>
          <w:lang w:val="kk-KZ"/>
        </w:rPr>
        <w:t xml:space="preserve">Электронная почта: </w:t>
      </w:r>
      <w:hyperlink r:id="rId11" w:history="1">
        <w:r w:rsidRPr="0015577F">
          <w:rPr>
            <w:rStyle w:val="ae"/>
            <w:sz w:val="28"/>
            <w:szCs w:val="28"/>
          </w:rPr>
          <w:t>info@saapharma.kz</w:t>
        </w:r>
      </w:hyperlink>
      <w:r w:rsidRPr="0015577F">
        <w:rPr>
          <w:color w:val="auto"/>
          <w:sz w:val="28"/>
          <w:szCs w:val="28"/>
        </w:rPr>
        <w:t xml:space="preserve"> </w:t>
      </w:r>
    </w:p>
    <w:bookmarkEnd w:id="20"/>
    <w:p w14:paraId="3F62DB65" w14:textId="5DB9EC1A" w:rsidR="000835BB" w:rsidRPr="0015577F" w:rsidRDefault="000835BB" w:rsidP="0015577F">
      <w:pPr>
        <w:pStyle w:val="2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0835BB" w:rsidRPr="0015577F" w:rsidSect="0015577F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4CB" w14:textId="77777777" w:rsidR="00DB4AE6" w:rsidRDefault="00DB4AE6" w:rsidP="00D275FC">
      <w:pPr>
        <w:spacing w:after="0" w:line="240" w:lineRule="auto"/>
      </w:pPr>
      <w:r>
        <w:separator/>
      </w:r>
    </w:p>
  </w:endnote>
  <w:endnote w:type="continuationSeparator" w:id="0">
    <w:p w14:paraId="7E3F9F05" w14:textId="77777777" w:rsidR="00DB4AE6" w:rsidRDefault="00DB4AE6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17FB" w14:textId="77777777" w:rsidR="00DB4AE6" w:rsidRDefault="00DB4AE6" w:rsidP="00D275FC">
      <w:pPr>
        <w:spacing w:after="0" w:line="240" w:lineRule="auto"/>
      </w:pPr>
      <w:r>
        <w:separator/>
      </w:r>
    </w:p>
  </w:footnote>
  <w:footnote w:type="continuationSeparator" w:id="0">
    <w:p w14:paraId="6323FFAB" w14:textId="77777777" w:rsidR="00DB4AE6" w:rsidRDefault="00DB4AE6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D92E" w14:textId="5758FA54" w:rsidR="00D275FC" w:rsidRDefault="00383DE1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098B20" wp14:editId="0FC6C3FA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2B3060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98B2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752B3060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57A1D"/>
    <w:multiLevelType w:val="hybridMultilevel"/>
    <w:tmpl w:val="EDCC5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1641D"/>
    <w:multiLevelType w:val="hybridMultilevel"/>
    <w:tmpl w:val="35545EC6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0304B"/>
    <w:multiLevelType w:val="hybridMultilevel"/>
    <w:tmpl w:val="F562592C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100742">
    <w:abstractNumId w:val="19"/>
  </w:num>
  <w:num w:numId="2" w16cid:durableId="214241908">
    <w:abstractNumId w:val="3"/>
  </w:num>
  <w:num w:numId="3" w16cid:durableId="418453810">
    <w:abstractNumId w:val="2"/>
  </w:num>
  <w:num w:numId="4" w16cid:durableId="1758744099">
    <w:abstractNumId w:val="22"/>
  </w:num>
  <w:num w:numId="5" w16cid:durableId="476533456">
    <w:abstractNumId w:val="27"/>
  </w:num>
  <w:num w:numId="6" w16cid:durableId="48454761">
    <w:abstractNumId w:val="6"/>
  </w:num>
  <w:num w:numId="7" w16cid:durableId="2103451999">
    <w:abstractNumId w:val="25"/>
  </w:num>
  <w:num w:numId="8" w16cid:durableId="1290284437">
    <w:abstractNumId w:val="8"/>
  </w:num>
  <w:num w:numId="9" w16cid:durableId="1696034851">
    <w:abstractNumId w:val="18"/>
  </w:num>
  <w:num w:numId="10" w16cid:durableId="2066293854">
    <w:abstractNumId w:val="9"/>
  </w:num>
  <w:num w:numId="11" w16cid:durableId="426384961">
    <w:abstractNumId w:val="16"/>
  </w:num>
  <w:num w:numId="12" w16cid:durableId="2017998852">
    <w:abstractNumId w:val="21"/>
  </w:num>
  <w:num w:numId="13" w16cid:durableId="1187062321">
    <w:abstractNumId w:val="23"/>
  </w:num>
  <w:num w:numId="14" w16cid:durableId="1108089330">
    <w:abstractNumId w:val="13"/>
  </w:num>
  <w:num w:numId="15" w16cid:durableId="1203712044">
    <w:abstractNumId w:val="0"/>
  </w:num>
  <w:num w:numId="16" w16cid:durableId="1507555034">
    <w:abstractNumId w:val="26"/>
  </w:num>
  <w:num w:numId="17" w16cid:durableId="158275224">
    <w:abstractNumId w:val="15"/>
  </w:num>
  <w:num w:numId="18" w16cid:durableId="1163013485">
    <w:abstractNumId w:val="14"/>
  </w:num>
  <w:num w:numId="19" w16cid:durableId="1901597667">
    <w:abstractNumId w:val="7"/>
  </w:num>
  <w:num w:numId="20" w16cid:durableId="621499475">
    <w:abstractNumId w:val="1"/>
  </w:num>
  <w:num w:numId="21" w16cid:durableId="1996031310">
    <w:abstractNumId w:val="11"/>
  </w:num>
  <w:num w:numId="22" w16cid:durableId="1987280442">
    <w:abstractNumId w:val="5"/>
  </w:num>
  <w:num w:numId="23" w16cid:durableId="760563698">
    <w:abstractNumId w:val="24"/>
  </w:num>
  <w:num w:numId="24" w16cid:durableId="226188930">
    <w:abstractNumId w:val="12"/>
  </w:num>
  <w:num w:numId="25" w16cid:durableId="642738990">
    <w:abstractNumId w:val="10"/>
  </w:num>
  <w:num w:numId="26" w16cid:durableId="1802920299">
    <w:abstractNumId w:val="17"/>
  </w:num>
  <w:num w:numId="27" w16cid:durableId="1772889785">
    <w:abstractNumId w:val="4"/>
  </w:num>
  <w:num w:numId="28" w16cid:durableId="180827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03069"/>
    <w:rsid w:val="00010371"/>
    <w:rsid w:val="000264BB"/>
    <w:rsid w:val="00033FC1"/>
    <w:rsid w:val="00042999"/>
    <w:rsid w:val="000835BB"/>
    <w:rsid w:val="000852A1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2852"/>
    <w:rsid w:val="00103587"/>
    <w:rsid w:val="00107A8A"/>
    <w:rsid w:val="00111788"/>
    <w:rsid w:val="001256C6"/>
    <w:rsid w:val="00130F0F"/>
    <w:rsid w:val="00132B9A"/>
    <w:rsid w:val="001368AE"/>
    <w:rsid w:val="00144CCD"/>
    <w:rsid w:val="0014739A"/>
    <w:rsid w:val="0015490C"/>
    <w:rsid w:val="0015577F"/>
    <w:rsid w:val="001573E2"/>
    <w:rsid w:val="0016278D"/>
    <w:rsid w:val="00167292"/>
    <w:rsid w:val="0019148D"/>
    <w:rsid w:val="001937AD"/>
    <w:rsid w:val="001A2CB2"/>
    <w:rsid w:val="001B057A"/>
    <w:rsid w:val="001B6AEC"/>
    <w:rsid w:val="001E068A"/>
    <w:rsid w:val="001E30FE"/>
    <w:rsid w:val="001E3744"/>
    <w:rsid w:val="001E6BAB"/>
    <w:rsid w:val="001E6F4C"/>
    <w:rsid w:val="001F16AA"/>
    <w:rsid w:val="00203355"/>
    <w:rsid w:val="00205796"/>
    <w:rsid w:val="00211005"/>
    <w:rsid w:val="00217D41"/>
    <w:rsid w:val="00222CA6"/>
    <w:rsid w:val="00232642"/>
    <w:rsid w:val="00237697"/>
    <w:rsid w:val="00250EDB"/>
    <w:rsid w:val="00253029"/>
    <w:rsid w:val="002531D1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960B4"/>
    <w:rsid w:val="002A3346"/>
    <w:rsid w:val="002A4CB9"/>
    <w:rsid w:val="002A591C"/>
    <w:rsid w:val="002B3270"/>
    <w:rsid w:val="002B37A1"/>
    <w:rsid w:val="002C10E1"/>
    <w:rsid w:val="002C15EB"/>
    <w:rsid w:val="002C1660"/>
    <w:rsid w:val="002C35A2"/>
    <w:rsid w:val="002C5345"/>
    <w:rsid w:val="002C76D7"/>
    <w:rsid w:val="002D56B7"/>
    <w:rsid w:val="002D634F"/>
    <w:rsid w:val="002E0BAD"/>
    <w:rsid w:val="002E2E51"/>
    <w:rsid w:val="002F36EA"/>
    <w:rsid w:val="002F4A14"/>
    <w:rsid w:val="00302607"/>
    <w:rsid w:val="003043BF"/>
    <w:rsid w:val="00320073"/>
    <w:rsid w:val="003262DF"/>
    <w:rsid w:val="00340799"/>
    <w:rsid w:val="00346699"/>
    <w:rsid w:val="003608FE"/>
    <w:rsid w:val="0036288F"/>
    <w:rsid w:val="00365B10"/>
    <w:rsid w:val="003662F1"/>
    <w:rsid w:val="00367BA7"/>
    <w:rsid w:val="003761C0"/>
    <w:rsid w:val="003812B2"/>
    <w:rsid w:val="00383CDB"/>
    <w:rsid w:val="00383DE1"/>
    <w:rsid w:val="00384F08"/>
    <w:rsid w:val="003879F9"/>
    <w:rsid w:val="00387ABA"/>
    <w:rsid w:val="003A035E"/>
    <w:rsid w:val="003B0285"/>
    <w:rsid w:val="003B0403"/>
    <w:rsid w:val="003E13CF"/>
    <w:rsid w:val="003E4120"/>
    <w:rsid w:val="003E52FA"/>
    <w:rsid w:val="003F5344"/>
    <w:rsid w:val="003F7EDC"/>
    <w:rsid w:val="0040054D"/>
    <w:rsid w:val="00401FF9"/>
    <w:rsid w:val="00404548"/>
    <w:rsid w:val="0041162E"/>
    <w:rsid w:val="00422AFE"/>
    <w:rsid w:val="0042786D"/>
    <w:rsid w:val="004300ED"/>
    <w:rsid w:val="00433C62"/>
    <w:rsid w:val="00434D01"/>
    <w:rsid w:val="00441E5B"/>
    <w:rsid w:val="00456E5A"/>
    <w:rsid w:val="00467542"/>
    <w:rsid w:val="00472EF5"/>
    <w:rsid w:val="0048687C"/>
    <w:rsid w:val="004A31B4"/>
    <w:rsid w:val="004C1273"/>
    <w:rsid w:val="004C1922"/>
    <w:rsid w:val="004C30F2"/>
    <w:rsid w:val="004C462F"/>
    <w:rsid w:val="004D49E9"/>
    <w:rsid w:val="004F6F7D"/>
    <w:rsid w:val="005071DA"/>
    <w:rsid w:val="00512C02"/>
    <w:rsid w:val="00523D82"/>
    <w:rsid w:val="00541A00"/>
    <w:rsid w:val="005444B2"/>
    <w:rsid w:val="00544948"/>
    <w:rsid w:val="00547734"/>
    <w:rsid w:val="00552F8B"/>
    <w:rsid w:val="00561FE7"/>
    <w:rsid w:val="005636F6"/>
    <w:rsid w:val="005658DA"/>
    <w:rsid w:val="00570F85"/>
    <w:rsid w:val="00575348"/>
    <w:rsid w:val="005779DE"/>
    <w:rsid w:val="00582CB2"/>
    <w:rsid w:val="005869C5"/>
    <w:rsid w:val="00591040"/>
    <w:rsid w:val="005A3C81"/>
    <w:rsid w:val="005A5680"/>
    <w:rsid w:val="005A6639"/>
    <w:rsid w:val="005A6914"/>
    <w:rsid w:val="005B3FFE"/>
    <w:rsid w:val="005B71F4"/>
    <w:rsid w:val="005C1519"/>
    <w:rsid w:val="005C1C4E"/>
    <w:rsid w:val="005C4361"/>
    <w:rsid w:val="005C4A16"/>
    <w:rsid w:val="005C4B12"/>
    <w:rsid w:val="005D68C6"/>
    <w:rsid w:val="005D7EE3"/>
    <w:rsid w:val="005E50DE"/>
    <w:rsid w:val="005E69CD"/>
    <w:rsid w:val="005F20F8"/>
    <w:rsid w:val="005F6BF1"/>
    <w:rsid w:val="005F7097"/>
    <w:rsid w:val="006023AB"/>
    <w:rsid w:val="00603492"/>
    <w:rsid w:val="0060364A"/>
    <w:rsid w:val="00606259"/>
    <w:rsid w:val="006072BC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6207F"/>
    <w:rsid w:val="006645CF"/>
    <w:rsid w:val="006703A5"/>
    <w:rsid w:val="0067136B"/>
    <w:rsid w:val="00691208"/>
    <w:rsid w:val="00693014"/>
    <w:rsid w:val="006A23C4"/>
    <w:rsid w:val="006A3A85"/>
    <w:rsid w:val="006A702E"/>
    <w:rsid w:val="006B10FC"/>
    <w:rsid w:val="006B7A90"/>
    <w:rsid w:val="006C0145"/>
    <w:rsid w:val="006C577B"/>
    <w:rsid w:val="006C5F38"/>
    <w:rsid w:val="006C6558"/>
    <w:rsid w:val="006D5BC2"/>
    <w:rsid w:val="006D7D5A"/>
    <w:rsid w:val="006E4305"/>
    <w:rsid w:val="006E47C8"/>
    <w:rsid w:val="006F5763"/>
    <w:rsid w:val="00704BAB"/>
    <w:rsid w:val="0070527A"/>
    <w:rsid w:val="007070DB"/>
    <w:rsid w:val="007104D1"/>
    <w:rsid w:val="007135A6"/>
    <w:rsid w:val="00732F32"/>
    <w:rsid w:val="00733A73"/>
    <w:rsid w:val="0073416C"/>
    <w:rsid w:val="00736B6C"/>
    <w:rsid w:val="00743EE8"/>
    <w:rsid w:val="00745CFF"/>
    <w:rsid w:val="00746FF2"/>
    <w:rsid w:val="00747BCA"/>
    <w:rsid w:val="00761133"/>
    <w:rsid w:val="00764E84"/>
    <w:rsid w:val="007762F8"/>
    <w:rsid w:val="00783520"/>
    <w:rsid w:val="00794E64"/>
    <w:rsid w:val="007A02D3"/>
    <w:rsid w:val="007A18B1"/>
    <w:rsid w:val="007A220F"/>
    <w:rsid w:val="007B588C"/>
    <w:rsid w:val="007C055A"/>
    <w:rsid w:val="007C1693"/>
    <w:rsid w:val="007D0E84"/>
    <w:rsid w:val="007D681B"/>
    <w:rsid w:val="007E1D85"/>
    <w:rsid w:val="007E2D8B"/>
    <w:rsid w:val="007E2E8F"/>
    <w:rsid w:val="007E702A"/>
    <w:rsid w:val="007F6F68"/>
    <w:rsid w:val="00807129"/>
    <w:rsid w:val="0081154A"/>
    <w:rsid w:val="00820B36"/>
    <w:rsid w:val="00827BB2"/>
    <w:rsid w:val="008329DA"/>
    <w:rsid w:val="008330E7"/>
    <w:rsid w:val="008353A4"/>
    <w:rsid w:val="008372C6"/>
    <w:rsid w:val="00844CE8"/>
    <w:rsid w:val="00847154"/>
    <w:rsid w:val="00851E0D"/>
    <w:rsid w:val="008650CB"/>
    <w:rsid w:val="0086657B"/>
    <w:rsid w:val="008832E5"/>
    <w:rsid w:val="00897669"/>
    <w:rsid w:val="008B75DD"/>
    <w:rsid w:val="008C0181"/>
    <w:rsid w:val="008D4451"/>
    <w:rsid w:val="008D4849"/>
    <w:rsid w:val="008D62B7"/>
    <w:rsid w:val="008D6537"/>
    <w:rsid w:val="008E6895"/>
    <w:rsid w:val="008F22CA"/>
    <w:rsid w:val="00900B3C"/>
    <w:rsid w:val="00904FB5"/>
    <w:rsid w:val="0091136C"/>
    <w:rsid w:val="009157ED"/>
    <w:rsid w:val="00930D7D"/>
    <w:rsid w:val="00945C66"/>
    <w:rsid w:val="0095047E"/>
    <w:rsid w:val="00953419"/>
    <w:rsid w:val="00956101"/>
    <w:rsid w:val="00962CD6"/>
    <w:rsid w:val="00983AB0"/>
    <w:rsid w:val="00993A60"/>
    <w:rsid w:val="009946E5"/>
    <w:rsid w:val="00996F90"/>
    <w:rsid w:val="009B014E"/>
    <w:rsid w:val="009B6139"/>
    <w:rsid w:val="009D71D5"/>
    <w:rsid w:val="009E269B"/>
    <w:rsid w:val="009E2887"/>
    <w:rsid w:val="009E5CB9"/>
    <w:rsid w:val="009F0C56"/>
    <w:rsid w:val="009F31F2"/>
    <w:rsid w:val="009F45A1"/>
    <w:rsid w:val="009F45A5"/>
    <w:rsid w:val="00A01C2E"/>
    <w:rsid w:val="00A02BB2"/>
    <w:rsid w:val="00A04052"/>
    <w:rsid w:val="00A12563"/>
    <w:rsid w:val="00A449AE"/>
    <w:rsid w:val="00A46BD9"/>
    <w:rsid w:val="00A8185B"/>
    <w:rsid w:val="00A81CCA"/>
    <w:rsid w:val="00AA5E2F"/>
    <w:rsid w:val="00AA7317"/>
    <w:rsid w:val="00AC2C0B"/>
    <w:rsid w:val="00AC4905"/>
    <w:rsid w:val="00AC58F1"/>
    <w:rsid w:val="00AE7922"/>
    <w:rsid w:val="00B01011"/>
    <w:rsid w:val="00B11878"/>
    <w:rsid w:val="00B14EE4"/>
    <w:rsid w:val="00B157C6"/>
    <w:rsid w:val="00B25417"/>
    <w:rsid w:val="00B46F30"/>
    <w:rsid w:val="00B608C1"/>
    <w:rsid w:val="00B60D3D"/>
    <w:rsid w:val="00B61D95"/>
    <w:rsid w:val="00B6508C"/>
    <w:rsid w:val="00B9187F"/>
    <w:rsid w:val="00B91BF8"/>
    <w:rsid w:val="00BB3050"/>
    <w:rsid w:val="00BB48CB"/>
    <w:rsid w:val="00BB7831"/>
    <w:rsid w:val="00BC31BC"/>
    <w:rsid w:val="00BC6167"/>
    <w:rsid w:val="00BE1852"/>
    <w:rsid w:val="00BE4435"/>
    <w:rsid w:val="00BE6B71"/>
    <w:rsid w:val="00BF0525"/>
    <w:rsid w:val="00C07BB3"/>
    <w:rsid w:val="00C101E2"/>
    <w:rsid w:val="00C2000E"/>
    <w:rsid w:val="00C2103B"/>
    <w:rsid w:val="00C379C9"/>
    <w:rsid w:val="00C40B5E"/>
    <w:rsid w:val="00C422B8"/>
    <w:rsid w:val="00C56396"/>
    <w:rsid w:val="00C566D6"/>
    <w:rsid w:val="00C65031"/>
    <w:rsid w:val="00C66D66"/>
    <w:rsid w:val="00C749B1"/>
    <w:rsid w:val="00C839ED"/>
    <w:rsid w:val="00C84299"/>
    <w:rsid w:val="00C87FCF"/>
    <w:rsid w:val="00C90088"/>
    <w:rsid w:val="00C92F14"/>
    <w:rsid w:val="00C9308C"/>
    <w:rsid w:val="00C97365"/>
    <w:rsid w:val="00CA5E4A"/>
    <w:rsid w:val="00CB4E41"/>
    <w:rsid w:val="00CC08BA"/>
    <w:rsid w:val="00CC0D0A"/>
    <w:rsid w:val="00CC330A"/>
    <w:rsid w:val="00CC5727"/>
    <w:rsid w:val="00CC7DBD"/>
    <w:rsid w:val="00CD7A5B"/>
    <w:rsid w:val="00CF35A5"/>
    <w:rsid w:val="00CF3849"/>
    <w:rsid w:val="00D00891"/>
    <w:rsid w:val="00D0233C"/>
    <w:rsid w:val="00D066FC"/>
    <w:rsid w:val="00D11462"/>
    <w:rsid w:val="00D14D61"/>
    <w:rsid w:val="00D150D6"/>
    <w:rsid w:val="00D22A47"/>
    <w:rsid w:val="00D275FC"/>
    <w:rsid w:val="00D35358"/>
    <w:rsid w:val="00D3576E"/>
    <w:rsid w:val="00D43297"/>
    <w:rsid w:val="00D46B0B"/>
    <w:rsid w:val="00D545F1"/>
    <w:rsid w:val="00D55ED8"/>
    <w:rsid w:val="00D6555C"/>
    <w:rsid w:val="00D70DB6"/>
    <w:rsid w:val="00D76048"/>
    <w:rsid w:val="00D93C80"/>
    <w:rsid w:val="00D96A8F"/>
    <w:rsid w:val="00DA1213"/>
    <w:rsid w:val="00DA1466"/>
    <w:rsid w:val="00DB0FD0"/>
    <w:rsid w:val="00DB406A"/>
    <w:rsid w:val="00DB4AE6"/>
    <w:rsid w:val="00DC7415"/>
    <w:rsid w:val="00DF11A7"/>
    <w:rsid w:val="00DF4EBD"/>
    <w:rsid w:val="00DF76F8"/>
    <w:rsid w:val="00E01786"/>
    <w:rsid w:val="00E13F24"/>
    <w:rsid w:val="00E271CB"/>
    <w:rsid w:val="00E34FE3"/>
    <w:rsid w:val="00E55D6C"/>
    <w:rsid w:val="00E57396"/>
    <w:rsid w:val="00E64C8B"/>
    <w:rsid w:val="00E673E0"/>
    <w:rsid w:val="00E81A1B"/>
    <w:rsid w:val="00E81A86"/>
    <w:rsid w:val="00E8607B"/>
    <w:rsid w:val="00E90CEC"/>
    <w:rsid w:val="00E91073"/>
    <w:rsid w:val="00E93583"/>
    <w:rsid w:val="00E95165"/>
    <w:rsid w:val="00EA2F86"/>
    <w:rsid w:val="00EA6D39"/>
    <w:rsid w:val="00EB1D97"/>
    <w:rsid w:val="00EF4C53"/>
    <w:rsid w:val="00F006F1"/>
    <w:rsid w:val="00F07B7B"/>
    <w:rsid w:val="00F10B41"/>
    <w:rsid w:val="00F15E4B"/>
    <w:rsid w:val="00F17662"/>
    <w:rsid w:val="00F23B95"/>
    <w:rsid w:val="00F40388"/>
    <w:rsid w:val="00F63389"/>
    <w:rsid w:val="00F70075"/>
    <w:rsid w:val="00F739D0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5226A"/>
  <w15:docId w15:val="{100CC6E1-51D0-4A05-B6A3-7954776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12">
    <w:name w:val="Обычный (веб)1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6">
    <w:name w:val="Body Text Indent"/>
    <w:basedOn w:val="a"/>
    <w:link w:val="a7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b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c">
    <w:name w:val="Subtitle"/>
    <w:basedOn w:val="a"/>
    <w:link w:val="ad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d">
    <w:name w:val="Подзаголовок Знак"/>
    <w:link w:val="ac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e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0">
    <w:name w:val="header"/>
    <w:basedOn w:val="a"/>
    <w:link w:val="af1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D275FC"/>
    <w:rPr>
      <w:lang w:val="ru-RU"/>
    </w:rPr>
  </w:style>
  <w:style w:type="paragraph" w:styleId="af2">
    <w:name w:val="foot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D275FC"/>
    <w:rPr>
      <w:lang w:val="ru-RU"/>
    </w:rPr>
  </w:style>
  <w:style w:type="paragraph" w:customStyle="1" w:styleId="15">
    <w:name w:val="Название1"/>
    <w:basedOn w:val="a"/>
    <w:next w:val="a"/>
    <w:link w:val="af4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4">
    <w:name w:val="Название Знак"/>
    <w:link w:val="15"/>
    <w:uiPriority w:val="10"/>
    <w:rsid w:val="00900B3C"/>
    <w:rPr>
      <w:rFonts w:ascii="Consolas" w:eastAsia="Consolas" w:hAnsi="Consolas" w:cs="Consolas"/>
    </w:rPr>
  </w:style>
  <w:style w:type="character" w:styleId="af5">
    <w:name w:val="annotation reference"/>
    <w:uiPriority w:val="99"/>
    <w:rsid w:val="007D0E84"/>
    <w:rPr>
      <w:sz w:val="16"/>
      <w:szCs w:val="16"/>
    </w:rPr>
  </w:style>
  <w:style w:type="paragraph" w:styleId="af6">
    <w:name w:val="annotation text"/>
    <w:basedOn w:val="a"/>
    <w:link w:val="af7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7">
    <w:name w:val="Текст примечания Знак"/>
    <w:link w:val="af6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8747E"/>
    <w:rPr>
      <w:sz w:val="22"/>
      <w:szCs w:val="22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658DA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9">
    <w:name w:val="Тема примечания Знак"/>
    <w:link w:val="af8"/>
    <w:uiPriority w:val="99"/>
    <w:semiHidden/>
    <w:rsid w:val="005658DA"/>
    <w:rPr>
      <w:rFonts w:ascii="Times New Roman" w:eastAsia="Times New Roman" w:hAnsi="Times New Roman" w:cs="Arial Unicode MS"/>
      <w:b/>
      <w:bCs/>
      <w:lang w:val="ru-RU" w:eastAsia="hu-HU" w:bidi="ml-IN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67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apharma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_query@accord-healthca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endra_Singh@intaspharm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1E85-A970-497E-8CA9-5944BE5B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5161</Words>
  <Characters>29421</Characters>
  <Application>Microsoft Office Word</Application>
  <DocSecurity>0</DocSecurity>
  <Lines>245</Lines>
  <Paragraphs>69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34513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 O. Ovsiannikova</dc:creator>
  <cp:keywords/>
  <cp:lastModifiedBy>NF-Mgr1</cp:lastModifiedBy>
  <cp:revision>45</cp:revision>
  <cp:lastPrinted>2018-03-22T06:08:00Z</cp:lastPrinted>
  <dcterms:created xsi:type="dcterms:W3CDTF">2021-02-01T10:19:00Z</dcterms:created>
  <dcterms:modified xsi:type="dcterms:W3CDTF">2022-10-11T06:00:00Z</dcterms:modified>
</cp:coreProperties>
</file>