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D7" w:rsidRPr="006A47D7" w:rsidRDefault="006A47D7" w:rsidP="006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A47D7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УТВЕРЖДЕНА</w:t>
      </w:r>
    </w:p>
    <w:p w:rsidR="006A47D7" w:rsidRPr="006A47D7" w:rsidRDefault="006A47D7" w:rsidP="006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D7">
        <w:rPr>
          <w:rFonts w:ascii="Times New Roman" w:eastAsia="Times New Roman" w:hAnsi="Times New Roman"/>
          <w:sz w:val="28"/>
          <w:szCs w:val="28"/>
          <w:lang w:eastAsia="ru-RU"/>
        </w:rPr>
        <w:t>Приказом Председателя</w:t>
      </w:r>
    </w:p>
    <w:p w:rsidR="006A47D7" w:rsidRPr="006A47D7" w:rsidRDefault="006A47D7" w:rsidP="006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D7">
        <w:rPr>
          <w:rFonts w:ascii="Times New Roman" w:eastAsia="Times New Roman" w:hAnsi="Times New Roman"/>
          <w:sz w:val="28"/>
          <w:szCs w:val="28"/>
          <w:lang w:eastAsia="ru-RU"/>
        </w:rPr>
        <w:t>РГУ «Комитет</w:t>
      </w:r>
      <w:r w:rsidR="00016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47D7">
        <w:rPr>
          <w:rFonts w:ascii="Times New Roman" w:eastAsia="Times New Roman" w:hAnsi="Times New Roman"/>
          <w:sz w:val="28"/>
          <w:szCs w:val="28"/>
          <w:lang w:eastAsia="ru-RU"/>
        </w:rPr>
        <w:t>медицинского и</w:t>
      </w:r>
    </w:p>
    <w:p w:rsidR="006A47D7" w:rsidRPr="006A47D7" w:rsidRDefault="006A47D7" w:rsidP="006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D7">
        <w:rPr>
          <w:rFonts w:ascii="Times New Roman" w:eastAsia="Times New Roman" w:hAnsi="Times New Roman"/>
          <w:sz w:val="28"/>
          <w:szCs w:val="28"/>
          <w:lang w:eastAsia="ru-RU"/>
        </w:rPr>
        <w:t>фармацевтического контроля</w:t>
      </w:r>
    </w:p>
    <w:p w:rsidR="006A47D7" w:rsidRPr="006A47D7" w:rsidRDefault="006A47D7" w:rsidP="006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D7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</w:t>
      </w:r>
    </w:p>
    <w:p w:rsidR="006A47D7" w:rsidRPr="006A47D7" w:rsidRDefault="006A47D7" w:rsidP="006A47D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7D7">
        <w:rPr>
          <w:rFonts w:ascii="Times New Roman" w:eastAsia="Times New Roman" w:hAnsi="Times New Roman"/>
          <w:sz w:val="28"/>
          <w:szCs w:val="28"/>
          <w:lang w:eastAsia="ru-RU"/>
        </w:rPr>
        <w:t>Республики Казахстан</w:t>
      </w:r>
      <w:r w:rsidR="006541C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02BF9" w:rsidRPr="00746FF2" w:rsidRDefault="00B02BF9" w:rsidP="00B02BF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>от «____»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097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FF2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02BF9" w:rsidRDefault="00B02BF9" w:rsidP="00B02BF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46FF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№ ______________</w:t>
      </w:r>
    </w:p>
    <w:p w:rsidR="00B02BF9" w:rsidRDefault="00B02BF9" w:rsidP="00B02BF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3C420B" w:rsidRDefault="003C420B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3C420B" w:rsidRPr="00B02BF9" w:rsidRDefault="003C420B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</w:p>
    <w:p w:rsidR="00D76048" w:rsidRPr="003C420B" w:rsidRDefault="00AE7922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3C420B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B259FA" w:rsidRPr="00B259FA" w:rsidRDefault="00B259FA" w:rsidP="00B259FA">
      <w:pPr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FA">
        <w:rPr>
          <w:rFonts w:ascii="Times New Roman" w:eastAsia="Times New Roman" w:hAnsi="Times New Roman"/>
          <w:sz w:val="24"/>
          <w:szCs w:val="24"/>
          <w:lang w:eastAsia="ru-RU"/>
        </w:rPr>
        <w:t>Лекарственный препарат подлежит дополнительному мониторингу, который способствует быстрому выявлению новых сведений о безопасности. Это позволит в короткий срок выявить новую информацию о безопасности. Обращаемся к работникам системы здравоохранения с просьбой сообщать о любых подозреваемых нежелательных реакциях.</w:t>
      </w:r>
    </w:p>
    <w:p w:rsidR="00232642" w:rsidRPr="003C420B" w:rsidRDefault="00232642" w:rsidP="006536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625E" w:rsidRPr="00F30A41" w:rsidRDefault="004D625E" w:rsidP="00C12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4E6FAC"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орговое наименование</w:t>
      </w:r>
      <w:r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76048" w:rsidRPr="00F30A41" w:rsidRDefault="00511702" w:rsidP="00C12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t>Басалог</w:t>
      </w:r>
      <w:r w:rsidR="003D51E7"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12F06" w:rsidRPr="00F30A41" w:rsidRDefault="00C12F06" w:rsidP="009D3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441" w:rsidRPr="00F30A41" w:rsidRDefault="009D3441" w:rsidP="009D3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92351C" w:rsidRPr="00F30A41" w:rsidRDefault="0092351C" w:rsidP="009235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Инсулин гларгин</w:t>
      </w:r>
    </w:p>
    <w:p w:rsidR="0092351C" w:rsidRPr="00F30A41" w:rsidRDefault="0092351C" w:rsidP="009D34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441" w:rsidRPr="00F30A41" w:rsidRDefault="009D3441" w:rsidP="00C12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OCRUncertain022"/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Лекарственная форма, дозировка</w:t>
      </w:r>
    </w:p>
    <w:p w:rsidR="0092351C" w:rsidRPr="00F30A41" w:rsidRDefault="0092351C" w:rsidP="00C12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Раствор для подкожн</w:t>
      </w:r>
      <w:r w:rsidR="009B01A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1A8">
        <w:rPr>
          <w:rFonts w:ascii="Times New Roman" w:eastAsia="Times New Roman" w:hAnsi="Times New Roman"/>
          <w:sz w:val="28"/>
          <w:szCs w:val="28"/>
          <w:lang w:eastAsia="ru-RU"/>
        </w:rPr>
        <w:t>введения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 100 МЕ/мл</w:t>
      </w:r>
      <w:r w:rsidR="001804D5" w:rsidRPr="00F30A41">
        <w:rPr>
          <w:rFonts w:ascii="Times New Roman" w:eastAsia="Times New Roman" w:hAnsi="Times New Roman"/>
          <w:sz w:val="28"/>
          <w:szCs w:val="28"/>
          <w:lang w:eastAsia="ru-RU"/>
        </w:rPr>
        <w:t>, 3 мл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638B8" w:rsidRPr="00F30A41" w:rsidRDefault="005638B8" w:rsidP="00C12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2C1660" w:rsidRPr="00F30A41" w:rsidRDefault="0092351C" w:rsidP="00C12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</w:t>
      </w:r>
      <w:r w:rsidR="00AE7922" w:rsidRPr="00F30A4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армакотерапевтическая</w:t>
      </w:r>
      <w:bookmarkEnd w:id="1"/>
      <w:r w:rsidR="00AE7922" w:rsidRPr="00F30A4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F30A4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A54581" w:rsidRDefault="00A54581" w:rsidP="0009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2" w:name="_Hlk44662995"/>
      <w:r w:rsidRPr="00A54581">
        <w:rPr>
          <w:rFonts w:ascii="Times New Roman" w:eastAsia="TimesNewRomanPSMT" w:hAnsi="Times New Roman"/>
          <w:sz w:val="28"/>
          <w:szCs w:val="28"/>
          <w:lang w:eastAsia="ru-RU"/>
        </w:rPr>
        <w:t>Пищеварительный тракт и обмен веществ. Лекарственные препараты, применяемые при диабете. Инсулины и аналоги длительного действия. Инсулин гларгин.</w:t>
      </w:r>
    </w:p>
    <w:p w:rsidR="00097043" w:rsidRDefault="00097043" w:rsidP="0009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97043">
        <w:rPr>
          <w:rFonts w:ascii="Times New Roman" w:eastAsia="TimesNewRomanPSMT" w:hAnsi="Times New Roman"/>
          <w:sz w:val="28"/>
          <w:szCs w:val="28"/>
          <w:lang w:eastAsia="ru-RU"/>
        </w:rPr>
        <w:t>Код АТХ A10AE04</w:t>
      </w:r>
    </w:p>
    <w:bookmarkEnd w:id="2"/>
    <w:p w:rsidR="00097043" w:rsidRPr="00F30A41" w:rsidRDefault="00097043" w:rsidP="00C1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5444B2" w:rsidRPr="00F30A41" w:rsidRDefault="005444B2" w:rsidP="00C12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:rsidR="00AE7922" w:rsidRPr="00F30A41" w:rsidRDefault="004D625E" w:rsidP="00C566D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>- лечение сахарного диабета у взрослых, подростков и детей от 2 лет и старше, когда требуется инсулинотерапия</w:t>
      </w:r>
    </w:p>
    <w:p w:rsidR="00C12F06" w:rsidRPr="00F30A41" w:rsidRDefault="00C12F06" w:rsidP="00C566D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06A" w:rsidRPr="00F30A41" w:rsidRDefault="00DB406A" w:rsidP="004E6F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BD7AEA" w:rsidRDefault="00DB406A" w:rsidP="004E6FA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D0E84" w:rsidRPr="00BD7A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913664" w:rsidRDefault="002740C4" w:rsidP="0091366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AEA">
        <w:rPr>
          <w:rFonts w:ascii="Times New Roman" w:hAnsi="Times New Roman"/>
          <w:sz w:val="28"/>
          <w:szCs w:val="28"/>
        </w:rPr>
        <w:t xml:space="preserve">Гиперчувствительность к действующему веществу или к </w:t>
      </w:r>
      <w:r w:rsidR="00203B5A" w:rsidRPr="00BD7AEA">
        <w:rPr>
          <w:rFonts w:ascii="Times New Roman" w:hAnsi="Times New Roman"/>
          <w:sz w:val="28"/>
          <w:szCs w:val="28"/>
        </w:rPr>
        <w:t>какому-</w:t>
      </w:r>
      <w:r w:rsidRPr="00BD7AEA">
        <w:rPr>
          <w:rFonts w:ascii="Times New Roman" w:hAnsi="Times New Roman"/>
          <w:sz w:val="28"/>
          <w:szCs w:val="28"/>
        </w:rPr>
        <w:t>л</w:t>
      </w:r>
      <w:r w:rsidR="00203B5A" w:rsidRPr="00BD7AEA">
        <w:rPr>
          <w:rFonts w:ascii="Times New Roman" w:hAnsi="Times New Roman"/>
          <w:sz w:val="28"/>
          <w:szCs w:val="28"/>
        </w:rPr>
        <w:t xml:space="preserve">ибо </w:t>
      </w:r>
      <w:r w:rsidRPr="00BD7AEA">
        <w:rPr>
          <w:rFonts w:ascii="Times New Roman" w:hAnsi="Times New Roman"/>
          <w:sz w:val="28"/>
          <w:szCs w:val="28"/>
        </w:rPr>
        <w:t>из вспомогательных веществ</w:t>
      </w:r>
      <w:r w:rsidR="00203B5A" w:rsidRPr="00BD7AEA">
        <w:rPr>
          <w:rFonts w:ascii="Times New Roman" w:hAnsi="Times New Roman"/>
          <w:sz w:val="28"/>
          <w:szCs w:val="28"/>
        </w:rPr>
        <w:t>.</w:t>
      </w:r>
    </w:p>
    <w:p w:rsidR="007D0E84" w:rsidRPr="00F30A41" w:rsidRDefault="007D0E84" w:rsidP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2167D3" w:rsidRPr="00F30A41" w:rsidRDefault="002167D3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30A41">
        <w:rPr>
          <w:rFonts w:ascii="Times New Roman" w:hAnsi="Times New Roman"/>
          <w:i/>
          <w:iCs/>
          <w:sz w:val="28"/>
          <w:szCs w:val="28"/>
        </w:rPr>
        <w:t>Дети</w:t>
      </w:r>
    </w:p>
    <w:p w:rsidR="002167D3" w:rsidRPr="00F30A41" w:rsidRDefault="002167D3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 xml:space="preserve">Безопасность и эффективность применения Басалога была установлена на подростках и детях в возрасте 2 лет и старше. Эффективность и </w:t>
      </w:r>
      <w:r w:rsidRPr="00F30A41">
        <w:rPr>
          <w:rFonts w:ascii="Times New Roman" w:hAnsi="Times New Roman"/>
          <w:sz w:val="28"/>
          <w:szCs w:val="28"/>
        </w:rPr>
        <w:lastRenderedPageBreak/>
        <w:t>безопасность у детей были продемонстрированы, когда инсулин гларгин назначался вечером.</w:t>
      </w:r>
    </w:p>
    <w:p w:rsidR="001804D5" w:rsidRPr="00F30A41" w:rsidRDefault="001804D5" w:rsidP="001804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0A41">
        <w:rPr>
          <w:rFonts w:ascii="Times New Roman" w:hAnsi="Times New Roman"/>
          <w:bCs/>
          <w:sz w:val="28"/>
          <w:szCs w:val="28"/>
        </w:rPr>
        <w:t>У детей до 2 лет безопасность и эффективность инсулина гларгин не были установлены. Нет доступных данных.</w:t>
      </w:r>
    </w:p>
    <w:p w:rsidR="001804D5" w:rsidRPr="00F30A41" w:rsidRDefault="001804D5" w:rsidP="001804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bCs/>
          <w:sz w:val="28"/>
          <w:szCs w:val="28"/>
        </w:rPr>
        <w:t>Вследствие ограниченного опыта определения силы воздействия и степени безопасности инсулина гларгин у детей младше 2 лет, Басалог следует применять только в данной возрастной группе под тщательным медицинским наблюдением</w:t>
      </w:r>
    </w:p>
    <w:p w:rsidR="002167D3" w:rsidRPr="00F30A41" w:rsidRDefault="00EF1DB1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Пациенты</w:t>
      </w:r>
      <w:r w:rsidR="002167D3" w:rsidRPr="00F30A41">
        <w:rPr>
          <w:rFonts w:ascii="Times New Roman" w:hAnsi="Times New Roman"/>
          <w:i/>
          <w:iCs/>
          <w:sz w:val="28"/>
          <w:szCs w:val="28"/>
        </w:rPr>
        <w:t xml:space="preserve"> пожилого возраста (≥ 65 лет)</w:t>
      </w:r>
    </w:p>
    <w:p w:rsidR="002167D3" w:rsidRPr="00F30A41" w:rsidRDefault="002167D3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 xml:space="preserve">У </w:t>
      </w:r>
      <w:r w:rsidR="00EF1DB1">
        <w:rPr>
          <w:rFonts w:ascii="Times New Roman" w:hAnsi="Times New Roman"/>
          <w:sz w:val="28"/>
          <w:szCs w:val="28"/>
        </w:rPr>
        <w:t>пациентов</w:t>
      </w:r>
      <w:r w:rsidRPr="00F30A41">
        <w:rPr>
          <w:rFonts w:ascii="Times New Roman" w:hAnsi="Times New Roman"/>
          <w:sz w:val="28"/>
          <w:szCs w:val="28"/>
        </w:rPr>
        <w:t xml:space="preserve"> пожилого возраста прогрессирующее снижение почечной функции может привести к устойчивому понижению потребности в инсулине.</w:t>
      </w:r>
    </w:p>
    <w:p w:rsidR="002167D3" w:rsidRPr="00F30A41" w:rsidRDefault="002167D3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30A41">
        <w:rPr>
          <w:rFonts w:ascii="Times New Roman" w:hAnsi="Times New Roman"/>
          <w:i/>
          <w:iCs/>
          <w:sz w:val="28"/>
          <w:szCs w:val="28"/>
        </w:rPr>
        <w:t>Нарушение почечной функции</w:t>
      </w:r>
    </w:p>
    <w:p w:rsidR="002167D3" w:rsidRPr="00F30A41" w:rsidRDefault="002167D3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 xml:space="preserve">У </w:t>
      </w:r>
      <w:r w:rsidR="00EF1DB1">
        <w:rPr>
          <w:rFonts w:ascii="Times New Roman" w:hAnsi="Times New Roman"/>
          <w:sz w:val="28"/>
          <w:szCs w:val="28"/>
        </w:rPr>
        <w:t>пациентов</w:t>
      </w:r>
      <w:r w:rsidRPr="00F30A41">
        <w:rPr>
          <w:rFonts w:ascii="Times New Roman" w:hAnsi="Times New Roman"/>
          <w:sz w:val="28"/>
          <w:szCs w:val="28"/>
        </w:rPr>
        <w:t xml:space="preserve"> со сниженной функцией почек потребность в инсулине может быть снижена вследствие понижения метаболизма инсулина. </w:t>
      </w:r>
    </w:p>
    <w:p w:rsidR="002167D3" w:rsidRPr="00F30A41" w:rsidRDefault="002167D3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30A41">
        <w:rPr>
          <w:rFonts w:ascii="Times New Roman" w:hAnsi="Times New Roman"/>
          <w:i/>
          <w:iCs/>
          <w:sz w:val="28"/>
          <w:szCs w:val="28"/>
        </w:rPr>
        <w:t xml:space="preserve">Нарушение печёночной функции </w:t>
      </w:r>
    </w:p>
    <w:p w:rsidR="002167D3" w:rsidRPr="00F30A41" w:rsidRDefault="002167D3" w:rsidP="002167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 xml:space="preserve">У </w:t>
      </w:r>
      <w:r w:rsidR="00EF1DB1">
        <w:rPr>
          <w:rFonts w:ascii="Times New Roman" w:hAnsi="Times New Roman"/>
          <w:sz w:val="28"/>
          <w:szCs w:val="28"/>
        </w:rPr>
        <w:t>пациентов</w:t>
      </w:r>
      <w:r w:rsidRPr="00F30A41">
        <w:rPr>
          <w:rFonts w:ascii="Times New Roman" w:hAnsi="Times New Roman"/>
          <w:sz w:val="28"/>
          <w:szCs w:val="28"/>
        </w:rPr>
        <w:t xml:space="preserve"> с нарушением функции печени потребность в инсулине может быть снижена вследствие уменьшения глюконеогенеза и снижения метаболизма инсулина.</w:t>
      </w:r>
    </w:p>
    <w:p w:rsidR="007D0E84" w:rsidRPr="00F30A41" w:rsidRDefault="007D0E84" w:rsidP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2175220271"/>
      <w:r w:rsidRPr="00F30A41">
        <w:rPr>
          <w:rFonts w:ascii="Times New Roman" w:hAnsi="Times New Roman"/>
          <w:color w:val="000000"/>
          <w:sz w:val="28"/>
          <w:szCs w:val="28"/>
        </w:rPr>
        <w:t>Ряд веществ оказывают влияние на метаболизм глюкозы, вследствие этого может потребоваться коррекция дозы инсулина гларгина.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Вещества, которые могут усилить гипогликемический эффект инсулина включают пероральные противодиабетические средства, ингибиторы ангиотензин-превращающего фермента, дизопирамид, фибраты, флуоксетин, ингибиторы моноаминоксидазы (МАО), пентоксифиллин, пропоксифен, салицилаты и сульфаниламидные антибиотики.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Вещества способные ослаблять гипогликемический эффект инсулина, включают кортикостероидные гормоны, даназол, диазоксид, диуретики, глюкагон, изониазид, эстрогены и прогестагены, производные фенотиазина, соматропин, симпатомиметики (например, эпинефрин (адреналин), сальбутамол, тербуталин), гормоны щитовидной железы, атипичные нейролептики (например, клозапин и оланзапин) и ингибиторы протеазы.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Бета-блокаторы, клонидин, соли лития или алкоголь могут либо усилить, либо ослабить гипогликемический эффект, производимый инсулином. Пентамидин может вызвать гипогликемию, после которой иногда может последовать гипергликемия.</w:t>
      </w:r>
    </w:p>
    <w:p w:rsidR="00D43297" w:rsidRPr="00F30A41" w:rsidRDefault="002167D3" w:rsidP="00D432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Кроме того, под влиянием симпатолитических средств, таких как бета-блокаторы, клонидин, гуанетидин и резерпин, признаки адренергической контррегуляции могут быть слабо выраженными или отсутствовать.</w:t>
      </w:r>
      <w:bookmarkEnd w:id="3"/>
      <w:r w:rsidR="00DB406A"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3297"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Басалог не является инсулином выбора для лечения диабетического кетоацидоза. В таких случаях рекомендуется внутривенное введение инсулина короткого действия.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случае недостаточного контроля уровня глюкозы в крови, а также в случае склонности к гипер- или гипогликемическим приступам, необходимо проверить соблюдение пациентом предписанного режима лечения, места инъекции и соответствующую технику </w:t>
      </w:r>
      <w:proofErr w:type="gramStart"/>
      <w:r w:rsidRPr="00F30A41">
        <w:rPr>
          <w:rFonts w:ascii="Times New Roman" w:hAnsi="Times New Roman"/>
          <w:color w:val="000000"/>
          <w:sz w:val="28"/>
          <w:szCs w:val="28"/>
        </w:rPr>
        <w:t>инъекции</w:t>
      </w:r>
      <w:proofErr w:type="gramEnd"/>
      <w:r w:rsidRPr="00F30A41">
        <w:rPr>
          <w:rFonts w:ascii="Times New Roman" w:hAnsi="Times New Roman"/>
          <w:color w:val="000000"/>
          <w:sz w:val="28"/>
          <w:szCs w:val="28"/>
        </w:rPr>
        <w:t xml:space="preserve"> и все другие релевантные факторы до регулирования дозировки Басалог.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Перевод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пациента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на другой тип или марку инсулина должен осуществляться под строгим наблюдением врача. Изменение концентрации, марки (производителя), типа (короткого действия, </w:t>
      </w:r>
      <w:r w:rsidR="00074C25" w:rsidRPr="00F30A41">
        <w:rPr>
          <w:rFonts w:ascii="Times New Roman" w:hAnsi="Times New Roman"/>
          <w:color w:val="000000"/>
          <w:sz w:val="28"/>
          <w:szCs w:val="28"/>
        </w:rPr>
        <w:t>НПХ</w:t>
      </w:r>
      <w:r w:rsidRPr="00F30A41">
        <w:rPr>
          <w:rFonts w:ascii="Times New Roman" w:hAnsi="Times New Roman"/>
          <w:color w:val="000000"/>
          <w:sz w:val="28"/>
          <w:szCs w:val="28"/>
        </w:rPr>
        <w:t>, длительного действия и т.д.), происхождения (животный, человеческий, аналог человеческого инсулина) и/или способа производства может привести к необходимости изменения дозы инсулина.</w:t>
      </w:r>
    </w:p>
    <w:p w:rsidR="006F6C91" w:rsidRPr="005B139E" w:rsidRDefault="006F6C91" w:rsidP="006F6C91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B139E">
        <w:rPr>
          <w:rFonts w:ascii="Times New Roman" w:hAnsi="Times New Roman"/>
          <w:iCs/>
          <w:sz w:val="28"/>
          <w:szCs w:val="28"/>
        </w:rPr>
        <w:t>Пациентов необходимо предупредить о необходимости постоянно менять место инъекции, чтобы уменьшить риск развития липодистрофии и амилоидоза кожи. Существует потенциальный риск задержки абсорбции инсулина и ухудшение гликемического контроля после инъекций инсулина в местах этих реакций. Сообщается, что изменение места инъекции на непораженных участках кожи приводит к гипогликемии. Рекомендуется проводить мониторинг уровня глюкозы в крови после изменения места введения, и можно учесть корректировки дозы противодиабетических препаратов.</w:t>
      </w:r>
    </w:p>
    <w:p w:rsidR="002167D3" w:rsidRPr="00F30A41" w:rsidRDefault="002167D3" w:rsidP="00C12F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Введение инсулина может вызвать образование антител к инсулину. В редких случаях присутствие таких антител к инсулину может вызвать необходимость в коррекции дозы инсулина, чтобы устранить склонность к гипер- или гипогликемии.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 xml:space="preserve">Гипогликемия 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Время возникновения гипогликемии зависит от профиля действия используемых инсулинов и может, таким образом, изменяться при изменении режима лечения. Благодаря более постоянному обеспечению базальным инсулином при терапии Басалогом, можно ожидать меньше гипогликемии в ночное время, но больше ранних утренних гипогликемий.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Следует принять особые меры предосторожности и осуществлять усиленный мониторинг глюкозы в крови у пациентов, у которых гипогликемические кризы могут иметь особую клиническую значимость, как у пациентов со значительным стенозом коронарных сосудов или кровеносных сосудов к мозгу (риск сердечных или церебральных осложнений гипогликемии), а также у пациентов с пролиферативной ретинопатией, в частности, не подвергшихся лечению фотокоагуляцией (риск временного амавроза после гипогликемии).</w:t>
      </w:r>
    </w:p>
    <w:p w:rsidR="002167D3" w:rsidRPr="00F30A41" w:rsidRDefault="00EF1DB1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Пациенты</w:t>
      </w:r>
      <w:r w:rsidR="002167D3" w:rsidRPr="00F30A41">
        <w:rPr>
          <w:rFonts w:ascii="Times New Roman" w:hAnsi="Times New Roman"/>
          <w:color w:val="000000"/>
          <w:sz w:val="28"/>
          <w:szCs w:val="28"/>
        </w:rPr>
        <w:t xml:space="preserve"> должны быть осведомлены о состояниях, когда предупреждающие симптомы гипогликемии ослаблены. Предупреждающие симптомы гипогликемии могут изменяться, быть менее выраженными или отсутствовать в определенных группах риска: 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 заметным улучшением гликемического контроля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 постепенным развитием гипогликемии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пожилого возраста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lastRenderedPageBreak/>
        <w:t>- после перехода с инсулина животного происхождения на человеческий инсулин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 независимой невропатией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 длительным анамнезом сахарного диабета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страдающие психиатрическим заболеванием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принимающие сопутствующее лечение другими лекарственными средствами (см. «Лекарственные взаимодействия»).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При таких состояниях тяжёлая гипогликемия (с возможной потерей сознания) может наступить до того, как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поймёт, что у него гипогликемия.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Пролонгированное действие подкожно введённого инсулина гларгина может задержать восстановление от гипогликемии. Если отмечаются нормальные или пониженные показатели гликозилированного гемоглобина, должна быть рассмотрена возможность возвратных, нераспознанных (особенно, ночных) эпизодов гипогликемии.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Соблюдение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пациентом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режима дозирования и диеты, правильное введение инсулина и знание симптомов-предвестников гипогликемии являются существенными для снижения риска гипогликемии. Факторы, повышающие предрасположенность к гипогликемии требуют особенно тщательного мониторинга и могут потребовать коррекции дозы. 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К ним относятся: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смена мест инъекции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повышенная чувствительность к инсулину (например, при устранении факторов стресса)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непривычная, повышенная или длительная физическая активность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сопутствующие заболевания (например, рвота, диарея)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нарушение диеты и режима питания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пропуск приема пищи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потребление алкоголя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отдельные некомпенсированные эндокринные расстройства (например, при гипотиреозе и недостаточности передней доли гипофиза или адренокортикальной недостаточности)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сопутствующая терапия другими лекарственными препаратами.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Сопутствующее заболевание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При наличии </w:t>
      </w:r>
      <w:r w:rsidR="00D12D3B" w:rsidRPr="00F30A41">
        <w:rPr>
          <w:rFonts w:ascii="Times New Roman" w:hAnsi="Times New Roman"/>
          <w:color w:val="000000"/>
          <w:sz w:val="28"/>
          <w:szCs w:val="28"/>
        </w:rPr>
        <w:t>сопутствующего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заболевания необходим интенсивный мониторинг метаболизма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пациента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. Во многих случаях показано определение кетонов в моче, часто возникает необходимость в коррекции дозы инсулина. Потребность в инсулине часто возрастает.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Пациентам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с сахарным диабетом 1 типа следует продолжать регулярное потребление углеводов хотя бы в небольших количествах, даже если они находятся в состоянии, когда могут принять мало пищи или могут отказаться от пищи, или при рвоте и других состояниях, и им никогда не следует полностью пропускать инъекции инсулина.</w:t>
      </w:r>
    </w:p>
    <w:p w:rsidR="005555A3" w:rsidRPr="00F30A41" w:rsidRDefault="005555A3" w:rsidP="005555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color w:val="000000"/>
          <w:sz w:val="28"/>
          <w:szCs w:val="28"/>
        </w:rPr>
        <w:t>Ошибки в применении</w:t>
      </w:r>
    </w:p>
    <w:p w:rsidR="005555A3" w:rsidRPr="00F30A41" w:rsidRDefault="005555A3" w:rsidP="005555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lastRenderedPageBreak/>
        <w:t>Сообщалось о случаях, при которых вместо инсулина гларгин случайно вводились другие инсулины, в частности инсулины короткого действия. Этикетку инсулина всегда следует проверять перед каждой инъекцией, чтобы избежать ошибок при приеме лекарств между инсулином гларгин и другими инсулинами.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Сочетание инсулина гларгин с пиоглитазоном</w:t>
      </w:r>
    </w:p>
    <w:p w:rsidR="002167D3" w:rsidRPr="00F30A41" w:rsidRDefault="002167D3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Было сообщено о случаях появления сердечной недостаточности при использовании пиоглитазона в сочетании с инсулином, особенно у пациентов с факторами риска развития сердечной недостаточности. Это следует учитывать при назначении лечения при сочетании пиоглитазона и инсулина гларгина. При применении такого сочетания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пациентов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следует наблюдать на признаки и симптомы сердечной недостаточности, повышения массы тела и отечности. Следует прекратить лечение пиоглитазоном при возникновении симпт</w:t>
      </w:r>
      <w:r w:rsidR="005555A3" w:rsidRPr="00F30A41">
        <w:rPr>
          <w:rFonts w:ascii="Times New Roman" w:hAnsi="Times New Roman"/>
          <w:color w:val="000000"/>
          <w:sz w:val="28"/>
          <w:szCs w:val="28"/>
        </w:rPr>
        <w:t>омов сердечной недостаточности.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Беременность 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Отсутствуют клинические данные о применении инсулина гларгина во время беременности. Большое количество данных по беременным женщинам (более 1000 исходов беременности) показывают отсутствие особого негативного действия инсулина гларгин на беременность и отсутствие фето/неонатальной токсичности инсулина гларгин.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in vivo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не показали репродуктивную токсичность. Пациентам с сахарным диабетом следует рекомендовать сообщить своему врачу, если они беременны или планируют беременность.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Применение инсулина гларгин возможно в течение беременности, если это является клинически необходимым.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Важно для пациентов с предварительно существующим или гестационным диабетом поддерживать соответствующий метаболический контроль в течение беременности для предотвращения негативных исходов, связанных с гипергликемией. Потребность в инсулине может понижаться в течение первого триместра и повышаться в течение второго и третьего триместров. Непосредственно после родов необходимость в инсулинотерапии быстро понижается (повышенный риск гипогликемии). Необходим тщательный мониторинг контроля глюкозы на протяжении всей беременности.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 xml:space="preserve">Лактация 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Неизвестно, выделяется ли инсулин в грудное молоко человека. Метаболическое действие принятого инсулина гларгин на новорожденных/грудных детей не выявлено, поскольку инсулин гларгин в качестве пептида распадается на аминокислоты в желудочно-кишечном тракте человека. Женщинам, кормящим грудью, может потребоваться коррекция дозы инсулина и диеты.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 xml:space="preserve">Фертильность 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Исследования </w:t>
      </w: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in vivo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не показали прямого вредного действия инсулина в отношении фертильности.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Влияние на способность управлять транспортными средствами и работать с механизмами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Способность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пациента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на концентрацию внимания и реакцию может быть ослаблена в результате гипогликемии или гипергликемии или, например, в результате нарушения зрения. Это может создавать риск в ситуациях, когда такие способности представляют особую важность (например, при управлении автомобилем или рабочими механизмами).</w:t>
      </w:r>
    </w:p>
    <w:p w:rsidR="004B50FA" w:rsidRPr="00F30A41" w:rsidRDefault="004B50FA" w:rsidP="00E643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Пациенты должны быть проинструктированы о мерах предосторожности во избежание развития гипогликемии во время управления транспортом. Это особенно важно для тех, у кого симптомы-предвестники гипогликемии слабо выражены либо отсутствуют, и для тех, у кого часты эпизоды гипогликемии. Необходимо решить, целесообразно ли управлять автомобилем или рабочими машинами при таких состояниях.</w:t>
      </w:r>
    </w:p>
    <w:p w:rsidR="0092351C" w:rsidRPr="00F30A41" w:rsidRDefault="0092351C" w:rsidP="00D432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F30A41" w:rsidRDefault="00DB406A" w:rsidP="00C12F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Рекомендации по применению</w:t>
      </w:r>
    </w:p>
    <w:p w:rsidR="000C7C18" w:rsidRPr="00F30A41" w:rsidRDefault="00DB406A" w:rsidP="004E6FA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4" w:name="2175220274"/>
      <w:r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Басалог следует применять один раз в сутки в любое время, но в одно и то же время ежедневно. </w:t>
      </w:r>
    </w:p>
    <w:p w:rsidR="007E25AA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дозирования (доза и время введения) Басалога должны быть установлены индивидуально. </w:t>
      </w:r>
      <w:r w:rsidR="00EF1DB1">
        <w:rPr>
          <w:rFonts w:ascii="Times New Roman" w:eastAsia="Times New Roman" w:hAnsi="Times New Roman"/>
          <w:sz w:val="28"/>
          <w:szCs w:val="28"/>
          <w:lang w:eastAsia="ru-RU"/>
        </w:rPr>
        <w:t>Пациентам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, со вторым типом сахарного диабета Басалог может быть назначен вместе с пероральными противодиабетическими лекарственными препаратами.</w:t>
      </w:r>
    </w:p>
    <w:p w:rsidR="00AC6E2E" w:rsidRPr="00F30A41" w:rsidRDefault="00AC6E2E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E2E">
        <w:rPr>
          <w:rFonts w:ascii="Times New Roman" w:eastAsia="Times New Roman" w:hAnsi="Times New Roman"/>
          <w:sz w:val="28"/>
          <w:szCs w:val="28"/>
          <w:lang w:eastAsia="ru-RU"/>
        </w:rPr>
        <w:t>Эффективность Басалог указана в единицах. Эти единицы являются исключительными для Басалог и не совпадают с МЕ или единицами, используемыми для выражения эффективности других аналогов инсулина</w:t>
      </w:r>
      <w:r w:rsidR="00D548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Начало лечения с помощью Басалог. 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Рекомендуемая начальная доза Басалог для пациентов, страдающих диабетом 1 типа, должна составлять примерно одну треть от общего ежедневного количества требуемого инсулина. Следует использовать инсулин быстрого действия до приема пищи для удовлетворения остальной части ежедневной потребности в инсулине. На основании опубликованной информации, рекомендуемая начальная доза составляет, в среднем, 10 МЕ один раз в день, а затем корректируется с учетом потребности пациента в общей суточной дозе от 2 до 100 МЕ, однако, дозы должны точно определяться медицинским работником, назначающим данный рецептурный препарат для конкретного пациента.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Переход с других инсулинов на Басалог 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При смене режима лечения инсулином средней длительности действия или инсулином длительного действия на режим лечения Басалогом, может потребоваться изменение дозы базального инсулина и коррекция сопутствующей противодиабетической терапии (дозировка и время дополнительного регулярного инсулина или быстродействующих аналогов инсулина, или дозы пероральных противодиабетических препаратов).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сокращения риска ночной и ранней утренней гипогликемии пациенты, которые сменяют свой режим базального инсулина с инсулина </w:t>
      </w:r>
      <w:r w:rsidR="003F3649"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НПХ </w:t>
      </w:r>
      <w:r w:rsidR="003F3649" w:rsidRPr="00F30A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(нейтральный протамин Хагедорна)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раза в сутки на терапию Басалогом, принимаемого один раз в сутки, должны сократить свою суточную дозу базального инсулина на 20-30% в течение первых недель лечения.</w:t>
      </w:r>
    </w:p>
    <w:p w:rsidR="005555A3" w:rsidRPr="00F30A41" w:rsidRDefault="005555A3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Басалог и Tуджео (инсулин гларгин 300 ЕД/мл) не являются биоэквивалентными и не являются взаимозаменяемыми. Чтобы снизить риск развития гипогликемии, пациентам, которые меняют свой базальный режим инсулина с 300 ЕД/мл инсулина один раз в день на режим один раз в день с Басалог, следует снизить дозу примерно на 20%.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В течение первых недель сокращение должно быть компенсировано, по крайней мере частично, увеличением инсулина, принимаемого во время еды, после такого периода режим должен быть скорректирован индивидуально.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Как с другими аналогами инсулина пациенты с высокими дозами инсулина вследствие формирования антител на человеческий инсулин могут испытать улучшенную инсулиновую реакцию с Басалогом.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Во время перехода на Басалог и в первые недели после него необходим строгий мониторинг за метаболическими показателями.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мере улучшения контроля метаболизма и повышения в результате этого чувствительности тканей к инсулину может потребоваться дальнейшая коррекция режима дозирования. Коррекция дозы может также потребоваться, например, при изменении веса тела или образа жизни </w:t>
      </w:r>
      <w:r w:rsidR="00EF1DB1">
        <w:rPr>
          <w:rFonts w:ascii="Times New Roman" w:eastAsia="Times New Roman" w:hAnsi="Times New Roman"/>
          <w:sz w:val="28"/>
          <w:szCs w:val="28"/>
          <w:lang w:eastAsia="ru-RU"/>
        </w:rPr>
        <w:t>пациента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, изменении времени приема дозы инсулина или при возникновении других обстоятельств, которые повышают предрасположенность к гипо- или гипергликемии (см. «Особые указания»).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Взаимозаменяемость и автоматическая замена</w:t>
      </w:r>
    </w:p>
    <w:p w:rsidR="007E25AA" w:rsidRPr="00F30A41" w:rsidRDefault="007E25AA" w:rsidP="004E6F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Басалог был разработан как аналог биологического медицинского продукта Лантус, и было продемонстрировано, что он имеет сопоставимый профиль качества, безопасности и эффективности с Лантус. Следовательно, взаимозаменяемость с эталонным продуктом Лантус может быть рассмотрена, если это согласовано с лечащим врачом. Однако автоматическая замена (то есть практика, при которой пациенту отпускается продукт, отличный от указанного в рецепте, без предварительного обоснованного согласия лечащего врача) и рецепт на основе активных веществ не могут применяться к биологическим веществам, включая биологические аналоги. Такой дифференцированный подход к биологическим препаратам гарантирует, что лечащие врачи могут принимать обоснованные решения о лечении, что отвечает интересам безопасности пациента.</w:t>
      </w:r>
    </w:p>
    <w:p w:rsidR="00024F82" w:rsidRPr="00F30A41" w:rsidRDefault="00024F82" w:rsidP="004E6FA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5" w:name="2175220275"/>
      <w:bookmarkEnd w:id="4"/>
      <w:r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Способ введения</w:t>
      </w:r>
    </w:p>
    <w:p w:rsidR="00024F82" w:rsidRPr="00F30A41" w:rsidRDefault="00024F82" w:rsidP="004E6FA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t>Басалог вводится подкожно шприц-ручкой многократного использования для введения инсулина INSULite™.</w:t>
      </w:r>
    </w:p>
    <w:p w:rsidR="00024F82" w:rsidRPr="00F30A41" w:rsidRDefault="00024F82" w:rsidP="00024F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Басалог не следует вводить внутривенно. Пролонгированное действие Басалога обусловлено введением его в подкожно-жировую клетчатку. </w:t>
      </w:r>
      <w:r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Внутривенное введение обычной подкожной дозы может привести к тяжелой гипогликемии.</w:t>
      </w:r>
    </w:p>
    <w:p w:rsidR="00095B9A" w:rsidRDefault="00095B9A" w:rsidP="005555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39E">
        <w:rPr>
          <w:rFonts w:ascii="Times New Roman" w:hAnsi="Times New Roman"/>
          <w:sz w:val="28"/>
          <w:szCs w:val="28"/>
        </w:rPr>
        <w:t>Нет клинически значимой разницы в уровнях сывороточного инсулина и сывороточной глюкозы после введения Басалога в брюшную стенку, в дельтовидную мышцу или в бедро. Необходимо каждый раз менять место инъекции в пределах одной и той же области</w:t>
      </w:r>
      <w:proofErr w:type="gramStart"/>
      <w:r w:rsidRPr="005B139E">
        <w:rPr>
          <w:rFonts w:ascii="Times New Roman" w:hAnsi="Times New Roman"/>
          <w:sz w:val="28"/>
          <w:szCs w:val="28"/>
        </w:rPr>
        <w:t>.ч</w:t>
      </w:r>
      <w:proofErr w:type="gramEnd"/>
      <w:r w:rsidRPr="005B139E">
        <w:rPr>
          <w:rFonts w:ascii="Times New Roman" w:hAnsi="Times New Roman"/>
          <w:sz w:val="28"/>
          <w:szCs w:val="28"/>
        </w:rPr>
        <w:t>тобы уменьшить риск липодистрофии или амилоидоза кожи. Не следует вводить в область липодистрофии или  амилоидоза кожи.</w:t>
      </w:r>
    </w:p>
    <w:p w:rsidR="007E25AA" w:rsidRPr="00F30A41" w:rsidRDefault="00024F82" w:rsidP="00024F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t>Басалог нельзя смешивать с другим инсулином или разводить. Смешивание или разведение могут изменить профиль время/действие и смешивание может вызвать выпадения осадка.</w:t>
      </w:r>
    </w:p>
    <w:p w:rsidR="006F7A1C" w:rsidRPr="00F30A41" w:rsidRDefault="00DB406A" w:rsidP="00C12F0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6" w:name="2175220278"/>
      <w:bookmarkEnd w:id="5"/>
      <w:r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F30A41">
        <w:rPr>
          <w:rFonts w:ascii="Times New Roman" w:hAnsi="Times New Roman"/>
          <w:i/>
          <w:color w:val="000000"/>
          <w:sz w:val="24"/>
        </w:rPr>
        <w:t xml:space="preserve"> </w:t>
      </w:r>
    </w:p>
    <w:p w:rsidR="00024F82" w:rsidRPr="00F30A41" w:rsidRDefault="00024F82" w:rsidP="00C12F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2175220279"/>
      <w:bookmarkEnd w:id="6"/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Симптомы: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передозировка инсулина может вызывать тяжёлую, а иногда продолжительную и угрожающую жизни гипогликемию.</w:t>
      </w:r>
    </w:p>
    <w:p w:rsidR="00024F82" w:rsidRPr="00F30A41" w:rsidRDefault="00024F82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Лечение: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обычно, эпизоды лёгкой гипогликемии можно лечить с помощью перорального приёма углеводов. Может потребоваться коррекция дозы лекарственного препарата, режима приёмов пищи или физической активности. </w:t>
      </w:r>
    </w:p>
    <w:p w:rsidR="00024F82" w:rsidRPr="00F30A41" w:rsidRDefault="00024F82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Более тяжёлые случаи, протекающие с комой, судорогами или неврологическими изменениями, можно лечить внутримышечным или подкожным введением глюкагона или внутривенным введением концентрированной глюкозы. Может потребоваться длительное введение углеводов и наблюдение за </w:t>
      </w:r>
      <w:r w:rsidR="00EF1DB1">
        <w:rPr>
          <w:rFonts w:ascii="Times New Roman" w:hAnsi="Times New Roman"/>
          <w:color w:val="000000"/>
          <w:sz w:val="28"/>
          <w:szCs w:val="28"/>
        </w:rPr>
        <w:t>пациентом</w:t>
      </w:r>
      <w:r w:rsidRPr="00F30A41">
        <w:rPr>
          <w:rFonts w:ascii="Times New Roman" w:hAnsi="Times New Roman"/>
          <w:color w:val="000000"/>
          <w:sz w:val="28"/>
          <w:szCs w:val="28"/>
        </w:rPr>
        <w:t xml:space="preserve"> в связи с возможным рецидивом гипогликемии после явного клинического выздоровления.</w:t>
      </w:r>
    </w:p>
    <w:bookmarkEnd w:id="7"/>
    <w:p w:rsidR="00DB406A" w:rsidRPr="00F30A41" w:rsidRDefault="00A12563" w:rsidP="00D43297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bidi="ru-RU"/>
        </w:rPr>
      </w:pPr>
      <w:r w:rsidRPr="00F30A41">
        <w:rPr>
          <w:rFonts w:ascii="Times New Roman" w:hAnsi="Times New Roman"/>
          <w:b/>
          <w:i/>
          <w:sz w:val="28"/>
          <w:lang w:bidi="ru-RU"/>
        </w:rPr>
        <w:t>Обратитесь к врачу или фармацевту за советом прежде, чем принимать лекарственный препарат.</w:t>
      </w:r>
    </w:p>
    <w:p w:rsidR="00C12F06" w:rsidRPr="00F30A41" w:rsidRDefault="00C12F06" w:rsidP="00D43297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bidi="ru-RU"/>
        </w:rPr>
      </w:pPr>
    </w:p>
    <w:p w:rsidR="006F7A1C" w:rsidRPr="00F30A41" w:rsidRDefault="001937AD" w:rsidP="00C12F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2175220282"/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 </w:t>
      </w:r>
    </w:p>
    <w:p w:rsidR="00E37058" w:rsidRPr="00F30A41" w:rsidRDefault="00E37058" w:rsidP="00C12F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Следующие побочные реакции, перечислены ниже по системно-органному классу в порядке понижения частоты случаев: </w:t>
      </w:r>
      <w:proofErr w:type="gramStart"/>
      <w:r w:rsidRPr="00F30A41">
        <w:rPr>
          <w:rFonts w:ascii="Times New Roman" w:hAnsi="Times New Roman"/>
          <w:color w:val="000000"/>
          <w:sz w:val="28"/>
          <w:szCs w:val="28"/>
        </w:rPr>
        <w:t>Очень частые: ≥ 1/10; Частые: ≥ 1/100 до &lt;1/10; Нечастые: ≥ 1/ 10 000 до &lt;1/1000; Очень редкие: &lt;1/1000).</w:t>
      </w:r>
      <w:proofErr w:type="gramEnd"/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 рамках каждой группы частоты, нежелательные реакции представлены в порядке понижающейся серьезности.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Очень часто (встречаются примерно у более 10% пациентов)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гипогликемия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Часто (встречаются у более 1%, но менее 10% пациентов)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липогипертрофия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реакции в месте инъекции, проходящие в промежутке времени от нескольких дней до нескольких недель: покраснение, боль, зуд, крапивница, отек, воспаление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Нечасто (встречаются у более 0,1%, но менее 1% пациентов)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- липоатрофия; 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отечность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Редко (встречаются у более 0,01%, но менее 0,1% пациентов)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аллергические реакции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нарушение зрения, ретинопатия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отеки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Очень редко (встречаются у более 0,001%, но менее 0,01% пациентов)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дисгевзия</w:t>
      </w:r>
    </w:p>
    <w:p w:rsidR="00E37058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- миалгия</w:t>
      </w:r>
    </w:p>
    <w:p w:rsidR="00BC1E1D" w:rsidRPr="00F30A41" w:rsidRDefault="00BC1E1D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D7A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амилоидоз кожи</w:t>
      </w:r>
    </w:p>
    <w:p w:rsidR="00E37058" w:rsidRPr="00F30A41" w:rsidRDefault="00E37058" w:rsidP="00C12F0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0A41">
        <w:rPr>
          <w:rFonts w:ascii="Times New Roman" w:hAnsi="Times New Roman"/>
          <w:b/>
          <w:bCs/>
          <w:color w:val="000000"/>
          <w:sz w:val="28"/>
          <w:szCs w:val="28"/>
        </w:rPr>
        <w:t>Описание отдельных нежелательных реакций</w:t>
      </w:r>
    </w:p>
    <w:p w:rsidR="00E37058" w:rsidRPr="00F30A41" w:rsidRDefault="00E37058" w:rsidP="00C12F0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Нарушения со стороны обмена веществ и питания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Серьезные гипогликемические приступы, особенно, повторяющиеся, могут привести к неврологическим нарушениям. Длительные или серьезные гипогликемические приступы могут представлять угрозу для жизни.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У многих пациентов признакам и симптомам нейрогликопении предшествуют признаки адренергической контррегуляции. Чем больше и быстрее происходит понижение глюкозы крови, тем более выраженным является проявление симптомов контррегуляции.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Нарушения со стороны иммунной системы 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Аллергические реакции немедленного типа на инсулин являются редкими.  Такие реакции на инсулин (включая инсулин гларгин) или вспомогательные вещества могут привести, например, к генерализованным кожным реакциям, ангионевротическому отеку, бронхоспазму, гипотонии и шоку, и могут представлять угрозу для жизни.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Иммуногенность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 xml:space="preserve">Прием инсулина гларгин может привести к образованию антиинсулиновых антител. Частота появления антител на инсулин гларгин наблюдается с такой же частотой, что и на инсулин </w:t>
      </w:r>
      <w:r w:rsidR="00AA4F22" w:rsidRPr="00F30A41">
        <w:rPr>
          <w:rFonts w:ascii="Times New Roman" w:hAnsi="Times New Roman"/>
          <w:color w:val="000000"/>
          <w:sz w:val="28"/>
          <w:szCs w:val="28"/>
        </w:rPr>
        <w:t>НПХ (нейтральный протамин Хагедорна)</w:t>
      </w:r>
      <w:r w:rsidRPr="00F30A41">
        <w:rPr>
          <w:rFonts w:ascii="Times New Roman" w:hAnsi="Times New Roman"/>
          <w:color w:val="000000"/>
          <w:sz w:val="28"/>
          <w:szCs w:val="28"/>
        </w:rPr>
        <w:t>. В редких случаях присутствие таких антиинсулиновых антител может привести к необходимости регулирования дозы инсулина.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Нарушения со стороны органов зрения 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Выраженное изменение в гликемическом контроле может привести к временному нарушению зрения вследствие временного изменения выпуклости и индекса преломления линз. Длительный улучшенный гликемический контроль понижает риск прогрессии диабетической ретинопатии.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Однако, интенсификация инсулинотерапии с резким улучшением гликемического контроля может привести к временному ухудшению диабетической ретинопатии. У пациентов с пролиферативной ретинопатией, в частности, если они не проходили лечение фотокоагуляцией, серьезные гипогликемические приступы могут привести к преходящей слепоте.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Нарушения  кожи  и подкожных  тканей</w:t>
      </w:r>
    </w:p>
    <w:p w:rsidR="00017DCA" w:rsidRPr="005B139E" w:rsidRDefault="00017DCA" w:rsidP="00017D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139E">
        <w:rPr>
          <w:rFonts w:ascii="Times New Roman" w:hAnsi="Times New Roman"/>
          <w:color w:val="000000"/>
          <w:sz w:val="28"/>
          <w:szCs w:val="28"/>
        </w:rPr>
        <w:t xml:space="preserve">Как и при любой инсулинотерапии, на месте ввода может возникнуть липодистрофия и амилоидоз кожи, что может привести к задержке локальной абсорбции инсулина. Постоянное изменение места инъекции в </w:t>
      </w:r>
      <w:r w:rsidRPr="005B139E">
        <w:rPr>
          <w:rFonts w:ascii="Times New Roman" w:hAnsi="Times New Roman"/>
          <w:color w:val="000000"/>
          <w:sz w:val="28"/>
          <w:szCs w:val="28"/>
        </w:rPr>
        <w:lastRenderedPageBreak/>
        <w:t>пределах данной области инъекции может помочь уменьшить или предотвратить эти реакции.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B139E">
        <w:rPr>
          <w:rFonts w:ascii="Times New Roman" w:hAnsi="Times New Roman"/>
          <w:i/>
          <w:iCs/>
          <w:color w:val="000000"/>
          <w:sz w:val="28"/>
          <w:szCs w:val="28"/>
        </w:rPr>
        <w:t>Общие расстройства и состояние</w:t>
      </w: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места ввода препарата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Реакции места ввода включают покраснение, боль, зуд, опухание или воспаление. Большинство слабых реакций на инсулин на месте ввода обычно прекращаются в течение нескольких дней или нескольких недель.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В редких случаях инсулин может привести к задержке натрия и отеку, в частности, если предварительно слабый метаболический контроль улучшается интенсифицированной инсулинотерапией.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30A41">
        <w:rPr>
          <w:rFonts w:ascii="Times New Roman" w:hAnsi="Times New Roman"/>
          <w:i/>
          <w:iCs/>
          <w:color w:val="000000"/>
          <w:sz w:val="28"/>
          <w:szCs w:val="28"/>
        </w:rPr>
        <w:t>Педиатрическая популяция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Профиль безопасности для детей и подростков (≤ 18 лет) подобен профилю безопасности для взрослых.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У детей и подростков (≤ 18 лет), в сравнении со взрослыми фиксируются относительно более частые реакции в месте инъекции (боль на месте ввода, реакция на месте ввода) и кожные реакции (сыпь, крапивница).</w:t>
      </w:r>
    </w:p>
    <w:p w:rsidR="00E37058" w:rsidRPr="00F30A41" w:rsidRDefault="00E37058" w:rsidP="00997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A41">
        <w:rPr>
          <w:rFonts w:ascii="Times New Roman" w:hAnsi="Times New Roman"/>
          <w:color w:val="000000"/>
          <w:sz w:val="28"/>
          <w:szCs w:val="28"/>
        </w:rPr>
        <w:t>Нет данных по безопасности у детей до 2 лет.</w:t>
      </w:r>
    </w:p>
    <w:bookmarkEnd w:id="8"/>
    <w:p w:rsidR="00AA4F22" w:rsidRPr="00F30A41" w:rsidRDefault="00AA4F22" w:rsidP="008330E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2F7" w:rsidRPr="00F30A41" w:rsidRDefault="00C402F7" w:rsidP="00C402F7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F30A41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C402F7" w:rsidRPr="00F30A41" w:rsidRDefault="00C402F7" w:rsidP="00C40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 </w:t>
      </w:r>
      <w:r w:rsidR="00016BA6">
        <w:rPr>
          <w:rFonts w:ascii="Times New Roman" w:hAnsi="Times New Roman"/>
          <w:sz w:val="28"/>
          <w:szCs w:val="28"/>
        </w:rPr>
        <w:t>медицинского и фармацевтического контроля</w:t>
      </w:r>
      <w:r w:rsidRPr="00F30A41">
        <w:rPr>
          <w:rFonts w:ascii="Times New Roman" w:hAnsi="Times New Roman"/>
          <w:sz w:val="28"/>
          <w:szCs w:val="28"/>
        </w:rPr>
        <w:t xml:space="preserve"> Министерства здравоохранения Республики Казахстан</w:t>
      </w:r>
    </w:p>
    <w:p w:rsidR="00C402F7" w:rsidRPr="00F30A41" w:rsidRDefault="008574E9" w:rsidP="00C402F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402F7" w:rsidRPr="00F30A41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C402F7" w:rsidRPr="00F30A41">
          <w:rPr>
            <w:rStyle w:val="af"/>
            <w:rFonts w:ascii="Times New Roman" w:hAnsi="Times New Roman"/>
            <w:sz w:val="28"/>
            <w:szCs w:val="28"/>
          </w:rPr>
          <w:t>://</w:t>
        </w:r>
        <w:r w:rsidR="00C402F7" w:rsidRPr="00F30A41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C402F7" w:rsidRPr="00F30A41">
          <w:rPr>
            <w:rStyle w:val="af"/>
            <w:rFonts w:ascii="Times New Roman" w:hAnsi="Times New Roman"/>
            <w:sz w:val="28"/>
            <w:szCs w:val="28"/>
          </w:rPr>
          <w:t>.</w:t>
        </w:r>
        <w:r w:rsidR="00C402F7" w:rsidRPr="00F30A41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r w:rsidR="00C402F7" w:rsidRPr="00F30A41">
          <w:rPr>
            <w:rStyle w:val="af"/>
            <w:rFonts w:ascii="Times New Roman" w:hAnsi="Times New Roman"/>
            <w:sz w:val="28"/>
            <w:szCs w:val="28"/>
          </w:rPr>
          <w:t>.</w:t>
        </w:r>
        <w:r w:rsidR="00C402F7" w:rsidRPr="00F30A41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:rsidR="00D93C80" w:rsidRPr="00F30A41" w:rsidRDefault="00D93C80" w:rsidP="008330E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C4B" w:rsidRPr="00F30A41" w:rsidRDefault="000C2C4B" w:rsidP="008330E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E9647F" w:rsidRPr="00F30A41" w:rsidRDefault="00E9647F" w:rsidP="00E964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9" w:name="2175220285"/>
      <w:r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:rsidR="00B259FA" w:rsidRPr="00F30A41" w:rsidRDefault="00B259FA" w:rsidP="00B259FA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0" w:name="2175220286"/>
      <w:bookmarkEnd w:id="9"/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 мл препарата</w:t>
      </w:r>
    </w:p>
    <w:p w:rsidR="0012685C" w:rsidRPr="00F30A41" w:rsidRDefault="0012685C" w:rsidP="0012685C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активное вещество</w:t>
      </w:r>
      <w:r w:rsidR="00B259FA" w:rsidRPr="00F30A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</w:t>
      </w:r>
      <w:r w:rsidR="00B259FA" w:rsidRPr="00F30A4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B259FA"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Инсулина гларгина (ДНК-рекомбинантного) 100 МЕ/мл;</w:t>
      </w:r>
    </w:p>
    <w:p w:rsidR="00CF0063" w:rsidRPr="00F30A41" w:rsidRDefault="00B259FA" w:rsidP="00B259FA">
      <w:pPr>
        <w:widowControl w:val="0"/>
        <w:autoSpaceDE w:val="0"/>
        <w:autoSpaceDN w:val="0"/>
        <w:spacing w:after="0" w:line="240" w:lineRule="auto"/>
        <w:ind w:left="2977" w:hanging="2977"/>
        <w:jc w:val="both"/>
      </w:pPr>
      <w:r w:rsidRPr="00F30A4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вспомогательные вещества</w:t>
      </w: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F30A41">
        <w:t xml:space="preserve"> </w:t>
      </w: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 – Крезол,</w:t>
      </w:r>
      <w:r w:rsidRPr="00F30A41">
        <w:t xml:space="preserve"> </w:t>
      </w:r>
      <w:r w:rsidRPr="00F30A41">
        <w:rPr>
          <w:rFonts w:ascii="Times New Roman" w:hAnsi="Times New Roman"/>
          <w:sz w:val="28"/>
          <w:szCs w:val="28"/>
        </w:rPr>
        <w:t>г</w:t>
      </w: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лицерин (85 %),</w:t>
      </w:r>
      <w:r w:rsidRPr="00F30A41">
        <w:t xml:space="preserve"> </w:t>
      </w:r>
    </w:p>
    <w:p w:rsidR="00CF0063" w:rsidRPr="00F30A41" w:rsidRDefault="00B259FA" w:rsidP="00B259FA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цинк** (в виде цинка хлорида),</w:t>
      </w:r>
      <w:r w:rsidRPr="00F30A41">
        <w:t xml:space="preserve"> </w:t>
      </w: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кислота хлороводородная,</w:t>
      </w:r>
      <w:r w:rsidR="00CF0063"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</w:t>
      </w:r>
      <w:r w:rsidR="00CF0063"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атрия</w:t>
      </w:r>
    </w:p>
    <w:p w:rsidR="00B259FA" w:rsidRPr="00F30A41" w:rsidRDefault="00B259FA" w:rsidP="00B259FA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гидроксид,</w:t>
      </w:r>
      <w:r w:rsidRPr="00F30A41">
        <w:t xml:space="preserve"> </w:t>
      </w:r>
      <w:r w:rsidRPr="00F30A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вода для инъекций</w:t>
      </w:r>
    </w:p>
    <w:p w:rsidR="00B916B6" w:rsidRPr="00F30A41" w:rsidRDefault="00B916B6" w:rsidP="00B916B6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41">
        <w:rPr>
          <w:rFonts w:ascii="Times New Roman" w:eastAsia="Times New Roman" w:hAnsi="Times New Roman"/>
          <w:sz w:val="24"/>
          <w:szCs w:val="24"/>
          <w:lang w:eastAsia="ru-RU"/>
        </w:rPr>
        <w:t xml:space="preserve">**Количество рассчитано на основе эндогенного цинка, присутствующего в </w:t>
      </w:r>
      <w:proofErr w:type="gramStart"/>
      <w:r w:rsidRPr="00F30A41">
        <w:rPr>
          <w:rFonts w:ascii="Times New Roman" w:eastAsia="Times New Roman" w:hAnsi="Times New Roman"/>
          <w:sz w:val="24"/>
          <w:szCs w:val="24"/>
          <w:lang w:eastAsia="ru-RU"/>
        </w:rPr>
        <w:t>лекарст-венной</w:t>
      </w:r>
      <w:proofErr w:type="gramEnd"/>
      <w:r w:rsidRPr="00F30A41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субстанции, для получения конечного содержания цинка 30 мкг/100 МЕ инсулина гларгина</w:t>
      </w:r>
    </w:p>
    <w:p w:rsidR="006B7A90" w:rsidRPr="00F30A41" w:rsidRDefault="006B7A90" w:rsidP="00CF0063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внешнего вида, запаха, вкуса</w:t>
      </w:r>
    </w:p>
    <w:bookmarkEnd w:id="10"/>
    <w:p w:rsidR="007B2C8D" w:rsidRPr="00F30A41" w:rsidRDefault="007B2C8D" w:rsidP="00CF0063">
      <w:pPr>
        <w:pStyle w:val="Default"/>
        <w:jc w:val="both"/>
        <w:rPr>
          <w:sz w:val="28"/>
          <w:szCs w:val="28"/>
          <w:lang w:bidi="ru-RU"/>
        </w:rPr>
      </w:pPr>
      <w:r w:rsidRPr="00F30A41">
        <w:rPr>
          <w:sz w:val="28"/>
          <w:szCs w:val="28"/>
          <w:lang w:bidi="ru-RU"/>
        </w:rPr>
        <w:t>Прозрачная бесцветная жидкость, без посторонних видимых включений.</w:t>
      </w:r>
    </w:p>
    <w:p w:rsidR="00C706FE" w:rsidRPr="00F30A41" w:rsidRDefault="00C706FE" w:rsidP="000E01AB">
      <w:pPr>
        <w:pStyle w:val="Default"/>
        <w:jc w:val="both"/>
        <w:rPr>
          <w:sz w:val="28"/>
          <w:szCs w:val="28"/>
          <w:lang w:bidi="ru-RU"/>
        </w:rPr>
      </w:pPr>
    </w:p>
    <w:p w:rsidR="002F6EA2" w:rsidRPr="00F30A41" w:rsidRDefault="002F6EA2" w:rsidP="002F6E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:rsidR="00C706FE" w:rsidRPr="00F30A41" w:rsidRDefault="00C706FE" w:rsidP="00C70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По 3 мл препарата помещают в картриджи из бесцветного стекла (типа </w:t>
      </w:r>
      <w:r w:rsidRPr="00F30A4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), укупоренные линейными печатями и плунжерными пробками. По 5 картриджей упаковывают в контурную ячейковую упаковку из ПВХ/Ал. </w:t>
      </w:r>
    </w:p>
    <w:p w:rsidR="003105B3" w:rsidRPr="00F30A41" w:rsidRDefault="00C706FE" w:rsidP="00C70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1 контурной ячейковой упаковке с инструкцией по медицинскому применению на государственном и русском языках вкладывают в картонную пачку.</w:t>
      </w:r>
    </w:p>
    <w:p w:rsidR="00C706FE" w:rsidRPr="00F30A41" w:rsidRDefault="00C706FE" w:rsidP="00C70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5B3" w:rsidRPr="00F30A41" w:rsidRDefault="003105B3" w:rsidP="008B4CB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:rsidR="00C706FE" w:rsidRPr="00F30A41" w:rsidRDefault="00C706FE" w:rsidP="008B4CB2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2175220288"/>
      <w:bookmarkEnd w:id="11"/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2 года. Период применения после вскрытия упаковки 28 дней.</w:t>
      </w:r>
    </w:p>
    <w:p w:rsidR="00C706FE" w:rsidRPr="00F30A41" w:rsidRDefault="00C706FE" w:rsidP="008B4CB2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A91A8B">
        <w:rPr>
          <w:rFonts w:ascii="Times New Roman" w:eastAsia="Times New Roman" w:hAnsi="Times New Roman"/>
          <w:sz w:val="28"/>
          <w:szCs w:val="28"/>
          <w:lang w:eastAsia="ru-RU"/>
        </w:rPr>
        <w:t>применять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срока годности,</w:t>
      </w:r>
      <w:r w:rsidR="005A1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указанного на упаковке.</w:t>
      </w:r>
    </w:p>
    <w:p w:rsidR="000E01AB" w:rsidRPr="00F30A41" w:rsidRDefault="00D14D61" w:rsidP="008B4CB2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C706FE" w:rsidRPr="00F30A41" w:rsidRDefault="00C706FE" w:rsidP="008B4CB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A41">
        <w:rPr>
          <w:rFonts w:ascii="Times New Roman" w:eastAsia="Times New Roman" w:hAnsi="Times New Roman"/>
          <w:sz w:val="28"/>
          <w:szCs w:val="28"/>
          <w:lang w:eastAsia="ru-RU"/>
        </w:rPr>
        <w:t>В оригинальной упаковке, при температуре 2°–8°С, в защищенном от света месте. Не замораживать! После вскрытия хранить при температуре не выше 25°С.</w:t>
      </w:r>
    </w:p>
    <w:p w:rsidR="00BB1F83" w:rsidRPr="00F30A41" w:rsidRDefault="00BB1F83" w:rsidP="008B4C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:rsidR="00C706FE" w:rsidRPr="00F30A41" w:rsidRDefault="00C706FE" w:rsidP="002F6E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6EA2" w:rsidRPr="00F30A41" w:rsidRDefault="002F6EA2" w:rsidP="002F6E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0A41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3105B3" w:rsidRPr="00F30A41" w:rsidRDefault="003105B3" w:rsidP="00310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A41">
        <w:rPr>
          <w:rFonts w:ascii="Times New Roman" w:hAnsi="Times New Roman"/>
          <w:sz w:val="28"/>
          <w:szCs w:val="28"/>
        </w:rPr>
        <w:t xml:space="preserve">По рецепту </w:t>
      </w:r>
    </w:p>
    <w:p w:rsidR="00B02BF9" w:rsidRPr="00F30A41" w:rsidRDefault="00B02BF9" w:rsidP="00D14D6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bookmarkEnd w:id="12"/>
    <w:p w:rsidR="006B7A90" w:rsidRPr="000728BC" w:rsidRDefault="007C1693" w:rsidP="005638B8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0728BC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  <w:r w:rsidRPr="000728B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0728B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728B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0728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производителе</w:t>
      </w:r>
      <w:r w:rsidRPr="000728B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</w:p>
    <w:p w:rsidR="00872D59" w:rsidRPr="000728BC" w:rsidRDefault="00872D59" w:rsidP="00872D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13" w:name="_Hlk58173567"/>
      <w:r w:rsidRPr="000728BC">
        <w:rPr>
          <w:rFonts w:ascii="Times New Roman" w:hAnsi="Times New Roman"/>
          <w:bCs/>
          <w:color w:val="000000"/>
          <w:sz w:val="28"/>
          <w:szCs w:val="28"/>
          <w:lang w:val="en-US"/>
        </w:rPr>
        <w:t>Biocon Biologics India Limited</w:t>
      </w:r>
      <w:r w:rsidR="0074288D" w:rsidRPr="000728BC">
        <w:rPr>
          <w:rFonts w:ascii="Times New Roman" w:hAnsi="Times New Roman"/>
          <w:bCs/>
          <w:color w:val="000000"/>
          <w:sz w:val="28"/>
          <w:szCs w:val="28"/>
          <w:lang w:val="en-US"/>
        </w:rPr>
        <w:t>,</w:t>
      </w:r>
      <w:r w:rsidRPr="000728B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872D59" w:rsidRDefault="00872D59" w:rsidP="00872D5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28BC">
        <w:rPr>
          <w:rFonts w:ascii="Times New Roman" w:hAnsi="Times New Roman"/>
          <w:color w:val="000000"/>
          <w:sz w:val="28"/>
          <w:szCs w:val="28"/>
        </w:rPr>
        <w:t>Адрес</w:t>
      </w:r>
      <w:r w:rsidRPr="000728BC">
        <w:rPr>
          <w:rFonts w:ascii="Times New Roman" w:hAnsi="Times New Roman"/>
          <w:color w:val="000000"/>
          <w:sz w:val="28"/>
          <w:szCs w:val="28"/>
          <w:lang w:val="en-US"/>
        </w:rPr>
        <w:t>: Block No. B1, B2, Q13 of Q1 and W20 &amp; Unit S18, 1</w:t>
      </w:r>
      <w:r w:rsidRPr="000728BC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st</w:t>
      </w:r>
      <w:r w:rsidRPr="000728BC">
        <w:rPr>
          <w:rFonts w:ascii="Times New Roman" w:hAnsi="Times New Roman"/>
          <w:color w:val="000000"/>
          <w:sz w:val="28"/>
          <w:szCs w:val="28"/>
          <w:lang w:val="en-US"/>
        </w:rPr>
        <w:t xml:space="preserve"> Floor, Block B4, Special Economic Zone, Plot No. 2, 3, 4 &amp; 5, Phase IV, Bommasandra- Jigani Link Road, Bommasandra Post,</w:t>
      </w:r>
      <w:r w:rsidR="00016BA6" w:rsidRPr="000728B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16BA6" w:rsidRPr="000728BC">
        <w:rPr>
          <w:rFonts w:ascii="Times New Roman" w:hAnsi="Times New Roman"/>
          <w:color w:val="000000"/>
          <w:sz w:val="28"/>
          <w:szCs w:val="28"/>
        </w:rPr>
        <w:t>Бангалор</w:t>
      </w:r>
      <w:r w:rsidR="00016BA6" w:rsidRPr="000728BC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r w:rsidRPr="000728BC">
        <w:rPr>
          <w:rFonts w:ascii="Times New Roman" w:hAnsi="Times New Roman"/>
          <w:color w:val="000000"/>
          <w:sz w:val="28"/>
          <w:szCs w:val="28"/>
          <w:lang w:val="en-US"/>
        </w:rPr>
        <w:t>560099,</w:t>
      </w:r>
      <w:r w:rsidR="00016BA6" w:rsidRPr="000728B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728BC">
        <w:rPr>
          <w:rFonts w:ascii="Times New Roman" w:hAnsi="Times New Roman"/>
          <w:color w:val="000000"/>
          <w:sz w:val="28"/>
          <w:szCs w:val="28"/>
        </w:rPr>
        <w:t>Индия</w:t>
      </w:r>
    </w:p>
    <w:p w:rsidR="002234F0" w:rsidRPr="002234F0" w:rsidRDefault="002234F0" w:rsidP="002234F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34F0">
        <w:rPr>
          <w:rFonts w:ascii="Times New Roman" w:hAnsi="Times New Roman"/>
          <w:color w:val="000000"/>
          <w:sz w:val="28"/>
          <w:szCs w:val="28"/>
        </w:rPr>
        <w:t>Тел: +91-80-2808-2808</w:t>
      </w:r>
    </w:p>
    <w:p w:rsidR="000728BC" w:rsidRPr="000728BC" w:rsidRDefault="000728BC" w:rsidP="00872D5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728BC">
        <w:rPr>
          <w:rFonts w:ascii="Times New Roman" w:eastAsia="Microsoft Sans Serif" w:hAnsi="Times New Roman"/>
          <w:sz w:val="28"/>
          <w:szCs w:val="28"/>
          <w:lang w:bidi="ru-RU"/>
        </w:rPr>
        <w:t>E-mail:</w:t>
      </w:r>
    </w:p>
    <w:p w:rsidR="00872D59" w:rsidRPr="000728BC" w:rsidRDefault="008574E9" w:rsidP="00872D59">
      <w:pPr>
        <w:autoSpaceDE w:val="0"/>
        <w:autoSpaceDN w:val="0"/>
        <w:spacing w:after="0" w:line="240" w:lineRule="auto"/>
        <w:jc w:val="both"/>
        <w:rPr>
          <w:rStyle w:val="af"/>
          <w:rFonts w:ascii="Times New Roman" w:hAnsi="Times New Roman"/>
          <w:sz w:val="28"/>
          <w:szCs w:val="28"/>
        </w:rPr>
      </w:pPr>
      <w:hyperlink r:id="rId10" w:history="1">
        <w:r w:rsidR="000728BC" w:rsidRPr="000728BC">
          <w:rPr>
            <w:rStyle w:val="af"/>
            <w:rFonts w:ascii="Times New Roman" w:hAnsi="Times New Roman"/>
            <w:sz w:val="28"/>
            <w:szCs w:val="28"/>
            <w:lang w:val="en-US"/>
          </w:rPr>
          <w:t>DrugSafety</w:t>
        </w:r>
        <w:r w:rsidR="000728BC" w:rsidRPr="000728BC">
          <w:rPr>
            <w:rStyle w:val="af"/>
            <w:rFonts w:ascii="Times New Roman" w:hAnsi="Times New Roman"/>
            <w:sz w:val="28"/>
            <w:szCs w:val="28"/>
          </w:rPr>
          <w:t>@biocon.com</w:t>
        </w:r>
      </w:hyperlink>
    </w:p>
    <w:bookmarkEnd w:id="13"/>
    <w:p w:rsidR="00752593" w:rsidRPr="000728BC" w:rsidRDefault="00752593" w:rsidP="007525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D76048" w:rsidRPr="000728BC" w:rsidRDefault="005A3C81" w:rsidP="000E49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8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0728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3105B3" w:rsidRPr="000728BC" w:rsidRDefault="003105B3" w:rsidP="003105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Biocon </w:t>
      </w:r>
      <w:r w:rsidRPr="000728BC">
        <w:rPr>
          <w:rFonts w:ascii="Times New Roman" w:eastAsia="Times New Roman" w:hAnsi="Times New Roman"/>
          <w:sz w:val="28"/>
          <w:szCs w:val="28"/>
          <w:lang w:val="en-US" w:eastAsia="ru-RU"/>
        </w:rPr>
        <w:t>Sdn</w:t>
      </w:r>
      <w:r w:rsidRPr="000728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5668" w:rsidRPr="000728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BC">
        <w:rPr>
          <w:rFonts w:ascii="Times New Roman" w:eastAsia="Times New Roman" w:hAnsi="Times New Roman"/>
          <w:sz w:val="28"/>
          <w:szCs w:val="28"/>
          <w:lang w:val="en-US" w:eastAsia="ru-RU"/>
        </w:rPr>
        <w:t>Bhd</w:t>
      </w:r>
      <w:r w:rsidRPr="000728B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105B3" w:rsidRPr="000728BC" w:rsidRDefault="003105B3" w:rsidP="003105B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728B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0728BC">
        <w:rPr>
          <w:rFonts w:ascii="Times New Roman" w:eastAsia="Times New Roman" w:hAnsi="Times New Roman"/>
          <w:sz w:val="28"/>
          <w:szCs w:val="28"/>
          <w:lang w:val="en-US" w:eastAsia="ru-RU"/>
        </w:rPr>
        <w:t>: Level 7, Menara Milenium, Jala</w:t>
      </w:r>
      <w:r w:rsidR="0009491C" w:rsidRPr="000728B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0728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Damanlela, Pusat Bandar Damansara, Damansara Heights, 50490, </w:t>
      </w:r>
      <w:r w:rsidRPr="000728B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Куала </w:t>
      </w:r>
      <w:r w:rsidR="00A539BA" w:rsidRPr="000728BC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0728BC">
        <w:rPr>
          <w:rFonts w:ascii="Times New Roman" w:eastAsia="Times New Roman" w:hAnsi="Times New Roman"/>
          <w:sz w:val="28"/>
          <w:szCs w:val="28"/>
          <w:lang w:val="kk-KZ" w:eastAsia="ru-RU"/>
        </w:rPr>
        <w:t>Лумпур, Малайзия</w:t>
      </w:r>
      <w:r w:rsidRPr="000728BC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DE5053" w:rsidRPr="000728BC" w:rsidRDefault="00DE5053" w:rsidP="00DE505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28BC">
        <w:rPr>
          <w:rFonts w:ascii="Times New Roman" w:hAnsi="Times New Roman"/>
          <w:color w:val="000000"/>
          <w:sz w:val="28"/>
          <w:szCs w:val="28"/>
        </w:rPr>
        <w:t xml:space="preserve">Тел: </w:t>
      </w:r>
      <w:r w:rsidR="00B02BF9" w:rsidRPr="000728BC">
        <w:rPr>
          <w:rFonts w:ascii="Times New Roman" w:hAnsi="Times New Roman"/>
          <w:color w:val="000000"/>
          <w:sz w:val="28"/>
          <w:szCs w:val="28"/>
        </w:rPr>
        <w:t>+607-5600 000</w:t>
      </w:r>
    </w:p>
    <w:p w:rsidR="000728BC" w:rsidRPr="000728BC" w:rsidRDefault="000728BC" w:rsidP="00DE5053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0728BC">
        <w:rPr>
          <w:rFonts w:ascii="Times New Roman" w:eastAsia="Microsoft Sans Serif" w:hAnsi="Times New Roman"/>
          <w:sz w:val="28"/>
          <w:szCs w:val="28"/>
          <w:lang w:bidi="ru-RU"/>
        </w:rPr>
        <w:t>E-mail:</w:t>
      </w:r>
    </w:p>
    <w:p w:rsidR="00DE5053" w:rsidRPr="000728BC" w:rsidRDefault="008574E9" w:rsidP="00DE505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0728BC" w:rsidRPr="000728BC">
          <w:rPr>
            <w:rStyle w:val="af"/>
            <w:rFonts w:ascii="Times New Roman" w:hAnsi="Times New Roman"/>
            <w:sz w:val="28"/>
            <w:szCs w:val="28"/>
          </w:rPr>
          <w:t>corporate.communications@biocon.com</w:t>
        </w:r>
      </w:hyperlink>
    </w:p>
    <w:p w:rsidR="007D681B" w:rsidRPr="000728BC" w:rsidRDefault="007D681B" w:rsidP="008330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105B3" w:rsidRPr="000728BC" w:rsidRDefault="003105B3" w:rsidP="003105B3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0728BC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</w:t>
      </w:r>
      <w:r w:rsidRPr="000728BC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 по качеству лекарственных средств от потребителей и</w:t>
      </w:r>
      <w:r w:rsidRPr="000728BC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Pr="000728BC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 за пострегистрационное наблюдение за безопасностью лекарственного средства</w:t>
      </w:r>
      <w:r w:rsidRPr="000728BC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872D59" w:rsidRPr="000728BC" w:rsidRDefault="003105B3" w:rsidP="00872D59">
      <w:pPr>
        <w:pStyle w:val="Style5"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0728BC">
        <w:rPr>
          <w:sz w:val="28"/>
          <w:szCs w:val="28"/>
        </w:rPr>
        <w:t xml:space="preserve"> </w:t>
      </w:r>
      <w:r w:rsidR="00872D59" w:rsidRPr="000728BC">
        <w:rPr>
          <w:rFonts w:eastAsia="Microsoft Sans Serif"/>
          <w:sz w:val="28"/>
          <w:szCs w:val="28"/>
          <w:lang w:bidi="ru-RU"/>
        </w:rPr>
        <w:t xml:space="preserve">ТОО «SaaPharma» </w:t>
      </w:r>
    </w:p>
    <w:p w:rsidR="00872D59" w:rsidRPr="000728BC" w:rsidRDefault="00872D59" w:rsidP="00872D59">
      <w:pPr>
        <w:pStyle w:val="Style5"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val="en-US" w:bidi="ru-RU"/>
        </w:rPr>
      </w:pPr>
      <w:r w:rsidRPr="000728BC">
        <w:rPr>
          <w:rFonts w:eastAsia="Microsoft Sans Serif"/>
          <w:sz w:val="28"/>
          <w:szCs w:val="28"/>
          <w:lang w:bidi="ru-RU"/>
        </w:rPr>
        <w:t>Республика Казахстан, г. Алматы, пр. Достык</w:t>
      </w:r>
      <w:r w:rsidRPr="000728BC">
        <w:rPr>
          <w:rFonts w:eastAsia="Microsoft Sans Serif"/>
          <w:sz w:val="28"/>
          <w:szCs w:val="28"/>
          <w:lang w:val="en-US" w:bidi="ru-RU"/>
        </w:rPr>
        <w:t>, 38.</w:t>
      </w:r>
    </w:p>
    <w:p w:rsidR="00872D59" w:rsidRPr="000728BC" w:rsidRDefault="00872D59" w:rsidP="00872D59">
      <w:pPr>
        <w:pStyle w:val="Style5"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val="en-US" w:bidi="ru-RU"/>
        </w:rPr>
      </w:pPr>
      <w:r w:rsidRPr="000728BC">
        <w:rPr>
          <w:rFonts w:eastAsia="Microsoft Sans Serif"/>
          <w:sz w:val="28"/>
          <w:szCs w:val="28"/>
          <w:lang w:val="en-US" w:bidi="ru-RU"/>
        </w:rPr>
        <w:t xml:space="preserve">Ken Dala Business Center, </w:t>
      </w:r>
      <w:r w:rsidRPr="000728BC">
        <w:rPr>
          <w:rFonts w:eastAsia="Microsoft Sans Serif"/>
          <w:sz w:val="28"/>
          <w:szCs w:val="28"/>
          <w:lang w:bidi="ru-RU"/>
        </w:rPr>
        <w:t>офис</w:t>
      </w:r>
      <w:r w:rsidRPr="000728BC">
        <w:rPr>
          <w:rFonts w:eastAsia="Microsoft Sans Serif"/>
          <w:sz w:val="28"/>
          <w:szCs w:val="28"/>
          <w:lang w:val="en-US" w:bidi="ru-RU"/>
        </w:rPr>
        <w:t xml:space="preserve"> 705</w:t>
      </w:r>
    </w:p>
    <w:p w:rsidR="00872D59" w:rsidRPr="000728BC" w:rsidRDefault="00872D59" w:rsidP="00872D59">
      <w:pPr>
        <w:pStyle w:val="Style5"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0728BC">
        <w:rPr>
          <w:rFonts w:eastAsia="Microsoft Sans Serif"/>
          <w:sz w:val="28"/>
          <w:szCs w:val="28"/>
          <w:lang w:bidi="ru-RU"/>
        </w:rPr>
        <w:t>тел: +7(727) 345-10-11</w:t>
      </w:r>
    </w:p>
    <w:p w:rsidR="000728BC" w:rsidRPr="000728BC" w:rsidRDefault="000728BC" w:rsidP="00872D59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bCs/>
          <w:sz w:val="28"/>
          <w:szCs w:val="28"/>
          <w:lang w:bidi="ru-RU"/>
        </w:rPr>
      </w:pPr>
      <w:r w:rsidRPr="000728BC">
        <w:rPr>
          <w:rFonts w:eastAsia="Microsoft Sans Serif"/>
          <w:sz w:val="28"/>
          <w:szCs w:val="28"/>
          <w:lang w:bidi="ru-RU"/>
        </w:rPr>
        <w:t>моб.:</w:t>
      </w:r>
      <w:r w:rsidRPr="000728BC">
        <w:rPr>
          <w:rFonts w:eastAsia="Calibri"/>
          <w:bCs/>
          <w:sz w:val="28"/>
          <w:szCs w:val="28"/>
          <w:lang w:eastAsia="en-US"/>
        </w:rPr>
        <w:t xml:space="preserve"> </w:t>
      </w:r>
      <w:r w:rsidRPr="000728BC">
        <w:rPr>
          <w:rFonts w:eastAsia="Microsoft Sans Serif"/>
          <w:bCs/>
          <w:sz w:val="28"/>
          <w:szCs w:val="28"/>
          <w:lang w:bidi="ru-RU"/>
        </w:rPr>
        <w:t>+7 (701) 922-60-63</w:t>
      </w:r>
      <w:bookmarkStart w:id="14" w:name="_Hlk48123735"/>
    </w:p>
    <w:p w:rsidR="00872D59" w:rsidRPr="000728BC" w:rsidRDefault="00872D59" w:rsidP="00872D59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0728BC">
        <w:rPr>
          <w:rFonts w:eastAsia="Microsoft Sans Serif"/>
          <w:sz w:val="28"/>
          <w:szCs w:val="28"/>
          <w:lang w:bidi="ru-RU"/>
        </w:rPr>
        <w:t xml:space="preserve">E-mail: </w:t>
      </w:r>
      <w:bookmarkEnd w:id="14"/>
      <w:r w:rsidRPr="000728BC">
        <w:fldChar w:fldCharType="begin"/>
      </w:r>
      <w:r w:rsidRPr="000728BC">
        <w:rPr>
          <w:sz w:val="28"/>
          <w:szCs w:val="28"/>
        </w:rPr>
        <w:instrText xml:space="preserve"> HYPERLINK "mailto:info@saapharma.kz" </w:instrText>
      </w:r>
      <w:r w:rsidRPr="000728BC">
        <w:fldChar w:fldCharType="separate"/>
      </w:r>
      <w:r w:rsidRPr="000728BC">
        <w:rPr>
          <w:rStyle w:val="af"/>
          <w:rFonts w:eastAsia="Microsoft Sans Serif"/>
          <w:sz w:val="28"/>
          <w:szCs w:val="28"/>
          <w:lang w:bidi="ru-RU"/>
        </w:rPr>
        <w:t>info@saapharma.kz</w:t>
      </w:r>
      <w:r w:rsidRPr="000728BC">
        <w:rPr>
          <w:rStyle w:val="af"/>
          <w:rFonts w:eastAsia="Microsoft Sans Serif"/>
          <w:sz w:val="28"/>
          <w:szCs w:val="28"/>
          <w:lang w:bidi="ru-RU"/>
        </w:rPr>
        <w:fldChar w:fldCharType="end"/>
      </w:r>
      <w:r w:rsidRPr="000728BC">
        <w:rPr>
          <w:rFonts w:eastAsia="Microsoft Sans Serif"/>
          <w:sz w:val="28"/>
          <w:szCs w:val="28"/>
          <w:lang w:bidi="ru-RU"/>
        </w:rPr>
        <w:t xml:space="preserve"> </w:t>
      </w:r>
    </w:p>
    <w:p w:rsidR="003105B3" w:rsidRPr="000728BC" w:rsidRDefault="003105B3" w:rsidP="003105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3105B3" w:rsidRPr="000728BC" w:rsidSect="00106D76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E9" w:rsidRDefault="008574E9" w:rsidP="00D275FC">
      <w:pPr>
        <w:spacing w:after="0" w:line="240" w:lineRule="auto"/>
      </w:pPr>
      <w:r>
        <w:separator/>
      </w:r>
    </w:p>
  </w:endnote>
  <w:endnote w:type="continuationSeparator" w:id="0">
    <w:p w:rsidR="008574E9" w:rsidRDefault="008574E9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E9" w:rsidRDefault="008574E9" w:rsidP="00D275FC">
      <w:pPr>
        <w:spacing w:after="0" w:line="240" w:lineRule="auto"/>
      </w:pPr>
      <w:r>
        <w:separator/>
      </w:r>
    </w:p>
  </w:footnote>
  <w:footnote w:type="continuationSeparator" w:id="0">
    <w:p w:rsidR="008574E9" w:rsidRDefault="008574E9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4E206C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279313" wp14:editId="46423564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27931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75070FF9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Description: BT_1000x858px" style="width:14.6pt;height:13.55pt;visibility:visible;mso-wrap-style:square" o:bullet="t">
        <v:imagedata r:id="rId1" o:title=" BT_1000x858px"/>
      </v:shape>
    </w:pict>
  </w:numPicBullet>
  <w:abstractNum w:abstractNumId="0">
    <w:nsid w:val="029C446F"/>
    <w:multiLevelType w:val="hybridMultilevel"/>
    <w:tmpl w:val="34FAC3EA"/>
    <w:lvl w:ilvl="0" w:tplc="70F4A126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9AF4F79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52C6C94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6DF4CA5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2FF06B5A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DE44695A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2D3EF0A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8C08D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9E14D31E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9"/>
  </w:num>
  <w:num w:numId="5">
    <w:abstractNumId w:val="24"/>
  </w:num>
  <w:num w:numId="6">
    <w:abstractNumId w:val="6"/>
  </w:num>
  <w:num w:numId="7">
    <w:abstractNumId w:val="22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1"/>
  </w:num>
  <w:num w:numId="16">
    <w:abstractNumId w:val="23"/>
  </w:num>
  <w:num w:numId="17">
    <w:abstractNumId w:val="14"/>
  </w:num>
  <w:num w:numId="18">
    <w:abstractNumId w:val="13"/>
  </w:num>
  <w:num w:numId="19">
    <w:abstractNumId w:val="7"/>
  </w:num>
  <w:num w:numId="20">
    <w:abstractNumId w:val="2"/>
  </w:num>
  <w:num w:numId="21">
    <w:abstractNumId w:val="10"/>
  </w:num>
  <w:num w:numId="22">
    <w:abstractNumId w:val="5"/>
  </w:num>
  <w:num w:numId="23">
    <w:abstractNumId w:val="21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16BA6"/>
    <w:rsid w:val="00017DCA"/>
    <w:rsid w:val="00024F82"/>
    <w:rsid w:val="000264BB"/>
    <w:rsid w:val="00031FC8"/>
    <w:rsid w:val="00033FC1"/>
    <w:rsid w:val="00042999"/>
    <w:rsid w:val="000464E8"/>
    <w:rsid w:val="000504C5"/>
    <w:rsid w:val="000552AD"/>
    <w:rsid w:val="000728BC"/>
    <w:rsid w:val="00074C25"/>
    <w:rsid w:val="00084068"/>
    <w:rsid w:val="000852A1"/>
    <w:rsid w:val="000926C7"/>
    <w:rsid w:val="0009491C"/>
    <w:rsid w:val="00095B9A"/>
    <w:rsid w:val="00097043"/>
    <w:rsid w:val="000972E6"/>
    <w:rsid w:val="000A0D71"/>
    <w:rsid w:val="000C02BC"/>
    <w:rsid w:val="000C1D43"/>
    <w:rsid w:val="000C2C4B"/>
    <w:rsid w:val="000C4C48"/>
    <w:rsid w:val="000C6EA2"/>
    <w:rsid w:val="000C7C18"/>
    <w:rsid w:val="000D1B43"/>
    <w:rsid w:val="000E01AB"/>
    <w:rsid w:val="000E49F0"/>
    <w:rsid w:val="000E49F7"/>
    <w:rsid w:val="000E6126"/>
    <w:rsid w:val="000E74D7"/>
    <w:rsid w:val="000F0CF1"/>
    <w:rsid w:val="00100406"/>
    <w:rsid w:val="00106D76"/>
    <w:rsid w:val="00107A8A"/>
    <w:rsid w:val="00111788"/>
    <w:rsid w:val="00120E48"/>
    <w:rsid w:val="0012149F"/>
    <w:rsid w:val="0012685C"/>
    <w:rsid w:val="00132B9A"/>
    <w:rsid w:val="001368AE"/>
    <w:rsid w:val="00144CCD"/>
    <w:rsid w:val="0014739A"/>
    <w:rsid w:val="0015490C"/>
    <w:rsid w:val="00155915"/>
    <w:rsid w:val="001573E2"/>
    <w:rsid w:val="0016278D"/>
    <w:rsid w:val="001804D5"/>
    <w:rsid w:val="001937AD"/>
    <w:rsid w:val="001A2CB2"/>
    <w:rsid w:val="001B0F99"/>
    <w:rsid w:val="001B6AEC"/>
    <w:rsid w:val="001E0E62"/>
    <w:rsid w:val="001E6F4C"/>
    <w:rsid w:val="001F16AA"/>
    <w:rsid w:val="00203355"/>
    <w:rsid w:val="00203B5A"/>
    <w:rsid w:val="0020588C"/>
    <w:rsid w:val="00211005"/>
    <w:rsid w:val="002167D3"/>
    <w:rsid w:val="00217D41"/>
    <w:rsid w:val="00222BDD"/>
    <w:rsid w:val="00222CA6"/>
    <w:rsid w:val="002234F0"/>
    <w:rsid w:val="00232642"/>
    <w:rsid w:val="00237697"/>
    <w:rsid w:val="00247F08"/>
    <w:rsid w:val="00250EDB"/>
    <w:rsid w:val="00256E10"/>
    <w:rsid w:val="00260413"/>
    <w:rsid w:val="00260EBC"/>
    <w:rsid w:val="00264710"/>
    <w:rsid w:val="00267567"/>
    <w:rsid w:val="00270B0A"/>
    <w:rsid w:val="002740C4"/>
    <w:rsid w:val="00281FBE"/>
    <w:rsid w:val="00290D2E"/>
    <w:rsid w:val="00292715"/>
    <w:rsid w:val="0029560E"/>
    <w:rsid w:val="002A591C"/>
    <w:rsid w:val="002C0CD7"/>
    <w:rsid w:val="002C10E1"/>
    <w:rsid w:val="002C15EB"/>
    <w:rsid w:val="002C1660"/>
    <w:rsid w:val="002C35A2"/>
    <w:rsid w:val="002C5345"/>
    <w:rsid w:val="002C6F86"/>
    <w:rsid w:val="002D56B7"/>
    <w:rsid w:val="002E0BAD"/>
    <w:rsid w:val="002E352D"/>
    <w:rsid w:val="002F4A14"/>
    <w:rsid w:val="002F6EA2"/>
    <w:rsid w:val="003043BF"/>
    <w:rsid w:val="003105B3"/>
    <w:rsid w:val="00320073"/>
    <w:rsid w:val="00323A8B"/>
    <w:rsid w:val="003259DE"/>
    <w:rsid w:val="003262DF"/>
    <w:rsid w:val="003531F5"/>
    <w:rsid w:val="0036288F"/>
    <w:rsid w:val="00365B10"/>
    <w:rsid w:val="00367BA7"/>
    <w:rsid w:val="00373352"/>
    <w:rsid w:val="003761C0"/>
    <w:rsid w:val="003812B2"/>
    <w:rsid w:val="00383CDB"/>
    <w:rsid w:val="003879F9"/>
    <w:rsid w:val="00396A89"/>
    <w:rsid w:val="003A035E"/>
    <w:rsid w:val="003B0285"/>
    <w:rsid w:val="003C1A84"/>
    <w:rsid w:val="003C420B"/>
    <w:rsid w:val="003D51E7"/>
    <w:rsid w:val="003E13CF"/>
    <w:rsid w:val="003E7BFF"/>
    <w:rsid w:val="003F3649"/>
    <w:rsid w:val="003F5298"/>
    <w:rsid w:val="003F5344"/>
    <w:rsid w:val="003F7EDC"/>
    <w:rsid w:val="00404548"/>
    <w:rsid w:val="0041162E"/>
    <w:rsid w:val="00412223"/>
    <w:rsid w:val="00415473"/>
    <w:rsid w:val="0042786D"/>
    <w:rsid w:val="00433C62"/>
    <w:rsid w:val="00435ADE"/>
    <w:rsid w:val="004434E0"/>
    <w:rsid w:val="00466C27"/>
    <w:rsid w:val="00470E50"/>
    <w:rsid w:val="00472EF5"/>
    <w:rsid w:val="0048687C"/>
    <w:rsid w:val="004924A7"/>
    <w:rsid w:val="004A31B4"/>
    <w:rsid w:val="004B50FA"/>
    <w:rsid w:val="004C1922"/>
    <w:rsid w:val="004C3A72"/>
    <w:rsid w:val="004C462F"/>
    <w:rsid w:val="004D49E9"/>
    <w:rsid w:val="004D625E"/>
    <w:rsid w:val="004E206C"/>
    <w:rsid w:val="004E6FAC"/>
    <w:rsid w:val="004F2E24"/>
    <w:rsid w:val="005071DA"/>
    <w:rsid w:val="00511702"/>
    <w:rsid w:val="00523D82"/>
    <w:rsid w:val="00541A00"/>
    <w:rsid w:val="005444B2"/>
    <w:rsid w:val="00552F8B"/>
    <w:rsid w:val="005555A3"/>
    <w:rsid w:val="00561F4F"/>
    <w:rsid w:val="00561FE7"/>
    <w:rsid w:val="005638B8"/>
    <w:rsid w:val="00575348"/>
    <w:rsid w:val="00585D7E"/>
    <w:rsid w:val="005869C5"/>
    <w:rsid w:val="005974CA"/>
    <w:rsid w:val="005A1D8B"/>
    <w:rsid w:val="005A3C81"/>
    <w:rsid w:val="005A5680"/>
    <w:rsid w:val="005A6639"/>
    <w:rsid w:val="005A6914"/>
    <w:rsid w:val="005B139E"/>
    <w:rsid w:val="005B3FFE"/>
    <w:rsid w:val="005C1519"/>
    <w:rsid w:val="005C1C4E"/>
    <w:rsid w:val="005C4A16"/>
    <w:rsid w:val="005D47B7"/>
    <w:rsid w:val="005D68C6"/>
    <w:rsid w:val="005D6A1E"/>
    <w:rsid w:val="005D7EE3"/>
    <w:rsid w:val="005E50DE"/>
    <w:rsid w:val="005F7097"/>
    <w:rsid w:val="0060364A"/>
    <w:rsid w:val="00611D0C"/>
    <w:rsid w:val="00617843"/>
    <w:rsid w:val="00620F34"/>
    <w:rsid w:val="006226B7"/>
    <w:rsid w:val="00624C1B"/>
    <w:rsid w:val="00625471"/>
    <w:rsid w:val="00627853"/>
    <w:rsid w:val="00634D0C"/>
    <w:rsid w:val="00645706"/>
    <w:rsid w:val="00652BCE"/>
    <w:rsid w:val="00652E29"/>
    <w:rsid w:val="00653617"/>
    <w:rsid w:val="006541C3"/>
    <w:rsid w:val="00661F00"/>
    <w:rsid w:val="0067136B"/>
    <w:rsid w:val="00691208"/>
    <w:rsid w:val="006949B9"/>
    <w:rsid w:val="006A23C4"/>
    <w:rsid w:val="006A47D7"/>
    <w:rsid w:val="006A702E"/>
    <w:rsid w:val="006B4A45"/>
    <w:rsid w:val="006B7A90"/>
    <w:rsid w:val="006C5F38"/>
    <w:rsid w:val="006D7D5A"/>
    <w:rsid w:val="006E4305"/>
    <w:rsid w:val="006F5763"/>
    <w:rsid w:val="006F6C91"/>
    <w:rsid w:val="006F7A1C"/>
    <w:rsid w:val="00704BAB"/>
    <w:rsid w:val="007104D1"/>
    <w:rsid w:val="007135A6"/>
    <w:rsid w:val="00733A73"/>
    <w:rsid w:val="0074288D"/>
    <w:rsid w:val="00746FF2"/>
    <w:rsid w:val="00752593"/>
    <w:rsid w:val="00757DA0"/>
    <w:rsid w:val="00761133"/>
    <w:rsid w:val="00764E84"/>
    <w:rsid w:val="007708A3"/>
    <w:rsid w:val="007762F8"/>
    <w:rsid w:val="00783520"/>
    <w:rsid w:val="007835EF"/>
    <w:rsid w:val="007A02D3"/>
    <w:rsid w:val="007A18B1"/>
    <w:rsid w:val="007A435C"/>
    <w:rsid w:val="007A55E1"/>
    <w:rsid w:val="007B2C8D"/>
    <w:rsid w:val="007C055A"/>
    <w:rsid w:val="007C1693"/>
    <w:rsid w:val="007D0E84"/>
    <w:rsid w:val="007D681B"/>
    <w:rsid w:val="007E05A6"/>
    <w:rsid w:val="007E1D85"/>
    <w:rsid w:val="007E25AA"/>
    <w:rsid w:val="007F4055"/>
    <w:rsid w:val="00800C44"/>
    <w:rsid w:val="0080232F"/>
    <w:rsid w:val="0081154A"/>
    <w:rsid w:val="00815123"/>
    <w:rsid w:val="00820B36"/>
    <w:rsid w:val="00827BB2"/>
    <w:rsid w:val="008329DA"/>
    <w:rsid w:val="00832C92"/>
    <w:rsid w:val="008330E7"/>
    <w:rsid w:val="008353A4"/>
    <w:rsid w:val="00847154"/>
    <w:rsid w:val="00852FBC"/>
    <w:rsid w:val="00857268"/>
    <w:rsid w:val="008574E9"/>
    <w:rsid w:val="0086657B"/>
    <w:rsid w:val="00872D59"/>
    <w:rsid w:val="008832E5"/>
    <w:rsid w:val="00897669"/>
    <w:rsid w:val="008B4CB2"/>
    <w:rsid w:val="008B5C7B"/>
    <w:rsid w:val="008C0181"/>
    <w:rsid w:val="008D4451"/>
    <w:rsid w:val="008D62B7"/>
    <w:rsid w:val="008E12CD"/>
    <w:rsid w:val="008E6895"/>
    <w:rsid w:val="0090006E"/>
    <w:rsid w:val="00900B3C"/>
    <w:rsid w:val="00904FB5"/>
    <w:rsid w:val="0091136C"/>
    <w:rsid w:val="00913664"/>
    <w:rsid w:val="0092351C"/>
    <w:rsid w:val="00930D7D"/>
    <w:rsid w:val="0095047E"/>
    <w:rsid w:val="00956101"/>
    <w:rsid w:val="00962CD6"/>
    <w:rsid w:val="00993A60"/>
    <w:rsid w:val="00997C89"/>
    <w:rsid w:val="009A56A4"/>
    <w:rsid w:val="009B014E"/>
    <w:rsid w:val="009B01A8"/>
    <w:rsid w:val="009B1A31"/>
    <w:rsid w:val="009D1965"/>
    <w:rsid w:val="009D3441"/>
    <w:rsid w:val="009D71D5"/>
    <w:rsid w:val="009E2887"/>
    <w:rsid w:val="009E5CB9"/>
    <w:rsid w:val="009F31F2"/>
    <w:rsid w:val="009F45A5"/>
    <w:rsid w:val="009F4F90"/>
    <w:rsid w:val="00A01C2E"/>
    <w:rsid w:val="00A02BB2"/>
    <w:rsid w:val="00A04052"/>
    <w:rsid w:val="00A12563"/>
    <w:rsid w:val="00A1643E"/>
    <w:rsid w:val="00A17B0B"/>
    <w:rsid w:val="00A4475B"/>
    <w:rsid w:val="00A531EA"/>
    <w:rsid w:val="00A539BA"/>
    <w:rsid w:val="00A54581"/>
    <w:rsid w:val="00A55753"/>
    <w:rsid w:val="00A71B2B"/>
    <w:rsid w:val="00A75668"/>
    <w:rsid w:val="00A87649"/>
    <w:rsid w:val="00A91A8B"/>
    <w:rsid w:val="00A953C6"/>
    <w:rsid w:val="00AA4F22"/>
    <w:rsid w:val="00AA5E2F"/>
    <w:rsid w:val="00AA7317"/>
    <w:rsid w:val="00AB522A"/>
    <w:rsid w:val="00AC2C0B"/>
    <w:rsid w:val="00AC4905"/>
    <w:rsid w:val="00AC6E2E"/>
    <w:rsid w:val="00AE13DC"/>
    <w:rsid w:val="00AE7922"/>
    <w:rsid w:val="00AF67EF"/>
    <w:rsid w:val="00B01011"/>
    <w:rsid w:val="00B02BF9"/>
    <w:rsid w:val="00B073F5"/>
    <w:rsid w:val="00B259FA"/>
    <w:rsid w:val="00B3003B"/>
    <w:rsid w:val="00B352CC"/>
    <w:rsid w:val="00B46F30"/>
    <w:rsid w:val="00B554A5"/>
    <w:rsid w:val="00B608C1"/>
    <w:rsid w:val="00B60D3D"/>
    <w:rsid w:val="00B61D95"/>
    <w:rsid w:val="00B677FA"/>
    <w:rsid w:val="00B916B6"/>
    <w:rsid w:val="00B9187F"/>
    <w:rsid w:val="00BB1F83"/>
    <w:rsid w:val="00BB3050"/>
    <w:rsid w:val="00BB7831"/>
    <w:rsid w:val="00BC1E1D"/>
    <w:rsid w:val="00BC31BC"/>
    <w:rsid w:val="00BC6167"/>
    <w:rsid w:val="00BD7AEA"/>
    <w:rsid w:val="00BE4435"/>
    <w:rsid w:val="00BE6B71"/>
    <w:rsid w:val="00BF2C07"/>
    <w:rsid w:val="00C0534B"/>
    <w:rsid w:val="00C07BB3"/>
    <w:rsid w:val="00C12F06"/>
    <w:rsid w:val="00C2000E"/>
    <w:rsid w:val="00C241E5"/>
    <w:rsid w:val="00C254CB"/>
    <w:rsid w:val="00C379C9"/>
    <w:rsid w:val="00C402F7"/>
    <w:rsid w:val="00C422B8"/>
    <w:rsid w:val="00C566D6"/>
    <w:rsid w:val="00C574E3"/>
    <w:rsid w:val="00C6393B"/>
    <w:rsid w:val="00C706FE"/>
    <w:rsid w:val="00C839ED"/>
    <w:rsid w:val="00C84299"/>
    <w:rsid w:val="00C92F14"/>
    <w:rsid w:val="00C97365"/>
    <w:rsid w:val="00CC08BA"/>
    <w:rsid w:val="00CC330A"/>
    <w:rsid w:val="00CC5727"/>
    <w:rsid w:val="00CC63C5"/>
    <w:rsid w:val="00CC7DBD"/>
    <w:rsid w:val="00CD097E"/>
    <w:rsid w:val="00CD6AE1"/>
    <w:rsid w:val="00CF0063"/>
    <w:rsid w:val="00CF3849"/>
    <w:rsid w:val="00D0233C"/>
    <w:rsid w:val="00D05038"/>
    <w:rsid w:val="00D11462"/>
    <w:rsid w:val="00D12D3B"/>
    <w:rsid w:val="00D14D61"/>
    <w:rsid w:val="00D21B24"/>
    <w:rsid w:val="00D22A47"/>
    <w:rsid w:val="00D275FC"/>
    <w:rsid w:val="00D3576E"/>
    <w:rsid w:val="00D43297"/>
    <w:rsid w:val="00D46B0B"/>
    <w:rsid w:val="00D54074"/>
    <w:rsid w:val="00D5488E"/>
    <w:rsid w:val="00D55ED8"/>
    <w:rsid w:val="00D70DB6"/>
    <w:rsid w:val="00D75246"/>
    <w:rsid w:val="00D76048"/>
    <w:rsid w:val="00D93C80"/>
    <w:rsid w:val="00D96A8F"/>
    <w:rsid w:val="00DA2420"/>
    <w:rsid w:val="00DB2BD9"/>
    <w:rsid w:val="00DB406A"/>
    <w:rsid w:val="00DE5053"/>
    <w:rsid w:val="00DF11A7"/>
    <w:rsid w:val="00E23714"/>
    <w:rsid w:val="00E271CB"/>
    <w:rsid w:val="00E34FE3"/>
    <w:rsid w:val="00E37058"/>
    <w:rsid w:val="00E42059"/>
    <w:rsid w:val="00E55D6C"/>
    <w:rsid w:val="00E57396"/>
    <w:rsid w:val="00E63B9E"/>
    <w:rsid w:val="00E64364"/>
    <w:rsid w:val="00E653A0"/>
    <w:rsid w:val="00E81A1B"/>
    <w:rsid w:val="00E81A86"/>
    <w:rsid w:val="00E8607B"/>
    <w:rsid w:val="00E91073"/>
    <w:rsid w:val="00E93583"/>
    <w:rsid w:val="00E9647F"/>
    <w:rsid w:val="00EA28D2"/>
    <w:rsid w:val="00EA2F86"/>
    <w:rsid w:val="00EA5790"/>
    <w:rsid w:val="00EA6D39"/>
    <w:rsid w:val="00EB1D97"/>
    <w:rsid w:val="00EF1DB1"/>
    <w:rsid w:val="00EF26E3"/>
    <w:rsid w:val="00EF4C53"/>
    <w:rsid w:val="00F006F1"/>
    <w:rsid w:val="00F07B7B"/>
    <w:rsid w:val="00F1338D"/>
    <w:rsid w:val="00F23B95"/>
    <w:rsid w:val="00F30A41"/>
    <w:rsid w:val="00F356F2"/>
    <w:rsid w:val="00F40388"/>
    <w:rsid w:val="00F63389"/>
    <w:rsid w:val="00F66B26"/>
    <w:rsid w:val="00F91977"/>
    <w:rsid w:val="00F97B57"/>
    <w:rsid w:val="00FA086B"/>
    <w:rsid w:val="00FA4F7C"/>
    <w:rsid w:val="00FB0456"/>
    <w:rsid w:val="00FB41F6"/>
    <w:rsid w:val="00FB47F4"/>
    <w:rsid w:val="00FC7807"/>
    <w:rsid w:val="00FD2B12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C9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B677FA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D344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9D3441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21">
    <w:name w:val="Body Text 2"/>
    <w:basedOn w:val="a"/>
    <w:link w:val="22"/>
    <w:uiPriority w:val="99"/>
    <w:semiHidden/>
    <w:unhideWhenUsed/>
    <w:rsid w:val="003105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05B3"/>
    <w:rPr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D7AE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728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B677FA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D3441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9D3441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21">
    <w:name w:val="Body Text 2"/>
    <w:basedOn w:val="a"/>
    <w:link w:val="22"/>
    <w:uiPriority w:val="99"/>
    <w:semiHidden/>
    <w:unhideWhenUsed/>
    <w:rsid w:val="003105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05B3"/>
    <w:rPr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D7AE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7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porate.communications@biocon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rugSafety@bioc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9F72-1CB6-450A-9A7F-98BF99DD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3686</Words>
  <Characters>21011</Characters>
  <Application>Microsoft Office Word</Application>
  <DocSecurity>0</DocSecurity>
  <Lines>175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24648</CharactersWithSpaces>
  <SharedDoc>false</SharedDoc>
  <HLinks>
    <vt:vector size="30" baseType="variant">
      <vt:variant>
        <vt:i4>6553673</vt:i4>
      </vt:variant>
      <vt:variant>
        <vt:i4>12</vt:i4>
      </vt:variant>
      <vt:variant>
        <vt:i4>0</vt:i4>
      </vt:variant>
      <vt:variant>
        <vt:i4>5</vt:i4>
      </vt:variant>
      <vt:variant>
        <vt:lpwstr>mailto:info@saapharma.kz</vt:lpwstr>
      </vt:variant>
      <vt:variant>
        <vt:lpwstr/>
      </vt:variant>
      <vt:variant>
        <vt:i4>4587577</vt:i4>
      </vt:variant>
      <vt:variant>
        <vt:i4>9</vt:i4>
      </vt:variant>
      <vt:variant>
        <vt:i4>0</vt:i4>
      </vt:variant>
      <vt:variant>
        <vt:i4>5</vt:i4>
      </vt:variant>
      <vt:variant>
        <vt:lpwstr>mailto:corporate.communications@biocon.com</vt:lpwstr>
      </vt:variant>
      <vt:variant>
        <vt:lpwstr/>
      </vt:variant>
      <vt:variant>
        <vt:i4>4587577</vt:i4>
      </vt:variant>
      <vt:variant>
        <vt:i4>6</vt:i4>
      </vt:variant>
      <vt:variant>
        <vt:i4>0</vt:i4>
      </vt:variant>
      <vt:variant>
        <vt:i4>5</vt:i4>
      </vt:variant>
      <vt:variant>
        <vt:lpwstr>mailto:corporate.communications@biocon.com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mailto:pv@richter.kz</vt:lpwstr>
      </vt:variant>
      <vt:variant>
        <vt:lpwstr/>
      </vt:variant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mailto:info@saapharma.kz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Динара Е. Калиева</cp:lastModifiedBy>
  <cp:revision>2</cp:revision>
  <cp:lastPrinted>2018-03-22T06:08:00Z</cp:lastPrinted>
  <dcterms:created xsi:type="dcterms:W3CDTF">2021-04-06T03:08:00Z</dcterms:created>
  <dcterms:modified xsi:type="dcterms:W3CDTF">2021-04-06T03:08:00Z</dcterms:modified>
</cp:coreProperties>
</file>