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E16FAD" w14:paraId="316E8EF6" w14:textId="77777777" w:rsidTr="007E1D85">
        <w:tc>
          <w:tcPr>
            <w:tcW w:w="5211" w:type="dxa"/>
            <w:hideMark/>
          </w:tcPr>
          <w:p w14:paraId="0E47C30C" w14:textId="77777777" w:rsidR="007E1D85" w:rsidRPr="00E16FAD" w:rsidRDefault="007E1D85" w:rsidP="00295D0C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kk-KZ" w:eastAsia="ru-RU"/>
              </w:rPr>
            </w:pPr>
          </w:p>
        </w:tc>
        <w:tc>
          <w:tcPr>
            <w:tcW w:w="4536" w:type="dxa"/>
            <w:hideMark/>
          </w:tcPr>
          <w:p w14:paraId="72125FC0" w14:textId="77777777" w:rsidR="00146D68" w:rsidRPr="00E16FAD" w:rsidRDefault="00146D68" w:rsidP="00295D0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45F03206" w14:textId="77777777" w:rsidR="00146D68" w:rsidRPr="00E16FAD" w:rsidRDefault="00146D68" w:rsidP="0029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Приказом Председателя</w:t>
            </w:r>
          </w:p>
          <w:p w14:paraId="2ABBF1F6" w14:textId="7BE75972" w:rsidR="00146D68" w:rsidRPr="00E16FAD" w:rsidRDefault="00146D68" w:rsidP="0029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</w:t>
            </w:r>
            <w:proofErr w:type="gramStart"/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медицинского</w:t>
            </w:r>
            <w:proofErr w:type="gramEnd"/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</w:t>
            </w:r>
          </w:p>
          <w:p w14:paraId="073E45C9" w14:textId="0EE12177" w:rsidR="00146D68" w:rsidRPr="00E16FAD" w:rsidRDefault="00295D0C" w:rsidP="0029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фармацевтического контроля</w:t>
            </w:r>
          </w:p>
          <w:p w14:paraId="7B07D435" w14:textId="77777777" w:rsidR="00146D68" w:rsidRPr="00E16FAD" w:rsidRDefault="00146D68" w:rsidP="0029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</w:t>
            </w:r>
          </w:p>
          <w:p w14:paraId="7664EB30" w14:textId="7129A69E" w:rsidR="00146D68" w:rsidRPr="00E16FAD" w:rsidRDefault="00146D68" w:rsidP="0029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</w:t>
            </w:r>
            <w:r w:rsidR="00295D0C"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14:paraId="189F8D0C" w14:textId="77777777" w:rsidR="00146D68" w:rsidRPr="00E16FAD" w:rsidRDefault="00146D68" w:rsidP="00295D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«____»____________20__г.</w:t>
            </w:r>
          </w:p>
          <w:p w14:paraId="3BF2BB88" w14:textId="77777777" w:rsidR="00523D82" w:rsidRPr="00E16FAD" w:rsidRDefault="00146D68" w:rsidP="00295D0C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№ ______________</w:t>
            </w:r>
          </w:p>
        </w:tc>
        <w:tc>
          <w:tcPr>
            <w:tcW w:w="4536" w:type="dxa"/>
          </w:tcPr>
          <w:p w14:paraId="6A1136C2" w14:textId="77777777" w:rsidR="00523D82" w:rsidRPr="00E16FAD" w:rsidRDefault="00D46B0B" w:rsidP="00295D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E16FAD" w14:paraId="1AD0DA94" w14:textId="77777777" w:rsidTr="007E1D85">
        <w:tc>
          <w:tcPr>
            <w:tcW w:w="5211" w:type="dxa"/>
          </w:tcPr>
          <w:p w14:paraId="796F4F14" w14:textId="77777777" w:rsidR="00523D82" w:rsidRPr="00E16FAD" w:rsidRDefault="00523D82" w:rsidP="00295D0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E3998B1" w14:textId="77777777" w:rsidR="00523D82" w:rsidRPr="00E16FAD" w:rsidRDefault="00523D82" w:rsidP="00295D0C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42A3A3D4" w14:textId="77777777" w:rsidR="00523D82" w:rsidRPr="00E16FAD" w:rsidRDefault="00523D82" w:rsidP="00295D0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14:paraId="786BDB86" w14:textId="77777777" w:rsidR="00D76048" w:rsidRPr="00E16FAD" w:rsidRDefault="00D76048" w:rsidP="00295D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55549454"/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5CD1986B" w14:textId="77777777" w:rsidR="00D76048" w:rsidRPr="00E16FAD" w:rsidRDefault="00D76048" w:rsidP="00295D0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bookmarkEnd w:id="0"/>
    <w:p w14:paraId="6FD11AB5" w14:textId="77777777" w:rsidR="002C76D7" w:rsidRPr="00E16FAD" w:rsidRDefault="002C76D7" w:rsidP="00295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3FA89CA" w14:textId="77777777" w:rsidR="002C76D7" w:rsidRPr="00E16FAD" w:rsidRDefault="00D76048" w:rsidP="00295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7D84E3EB" w14:textId="77777777" w:rsidR="002C76D7" w:rsidRPr="00E16FAD" w:rsidRDefault="005F4C46" w:rsidP="00295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Метофил</w:t>
      </w:r>
      <w:proofErr w:type="spellEnd"/>
    </w:p>
    <w:p w14:paraId="6E28B0E5" w14:textId="77777777" w:rsidR="005F4C46" w:rsidRPr="00E16FAD" w:rsidRDefault="005F4C46" w:rsidP="00295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172B37" w14:textId="77777777" w:rsidR="002C76D7" w:rsidRPr="00E16FAD" w:rsidRDefault="00AE7922" w:rsidP="00295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55E1B7B8" w14:textId="77777777" w:rsidR="002C76D7" w:rsidRPr="00E16FAD" w:rsidRDefault="005F4C46" w:rsidP="00295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Метотрексат</w:t>
      </w:r>
    </w:p>
    <w:p w14:paraId="4F51E669" w14:textId="77777777" w:rsidR="005F4C46" w:rsidRPr="00E16FAD" w:rsidRDefault="005F4C46" w:rsidP="00295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4011873" w14:textId="67B8C0C6" w:rsidR="00D76048" w:rsidRPr="00E16FAD" w:rsidRDefault="002C76D7" w:rsidP="00295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295D0C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</w:t>
      </w:r>
    </w:p>
    <w:p w14:paraId="0913A023" w14:textId="77777777" w:rsidR="00B01011" w:rsidRPr="00E16FAD" w:rsidRDefault="005F4C46" w:rsidP="00295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Раствор для инъекций, 50 мг/мл</w:t>
      </w:r>
    </w:p>
    <w:p w14:paraId="50F32692" w14:textId="77777777" w:rsidR="005F4C46" w:rsidRPr="00E16FAD" w:rsidRDefault="005F4C46" w:rsidP="00295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7C41F5" w14:textId="77777777" w:rsidR="00295D0C" w:rsidRPr="00E16FAD" w:rsidRDefault="00AE7922" w:rsidP="00295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E16FA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E16FA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E16FA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2649FD67" w14:textId="705D380F" w:rsidR="00295D0C" w:rsidRPr="00E16FAD" w:rsidRDefault="00145AD2" w:rsidP="00295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Антинеопластические</w:t>
      </w:r>
      <w:proofErr w:type="spellEnd"/>
      <w:r w:rsidR="00A92BDA" w:rsidRPr="00E16FAD">
        <w:rPr>
          <w:rFonts w:ascii="Times New Roman" w:hAnsi="Times New Roman"/>
          <w:color w:val="000000"/>
          <w:sz w:val="28"/>
          <w:szCs w:val="28"/>
        </w:rPr>
        <w:t xml:space="preserve"> и иммуномодулирующие средства. </w:t>
      </w:r>
      <w:proofErr w:type="spellStart"/>
      <w:r w:rsidR="00A92BDA" w:rsidRPr="00E16FAD">
        <w:rPr>
          <w:rFonts w:ascii="Times New Roman" w:hAnsi="Times New Roman"/>
          <w:color w:val="000000"/>
          <w:sz w:val="28"/>
          <w:szCs w:val="28"/>
        </w:rPr>
        <w:t>Иммуно</w:t>
      </w:r>
      <w:r w:rsidR="00295D0C" w:rsidRPr="00E16FAD">
        <w:rPr>
          <w:rFonts w:ascii="Times New Roman" w:hAnsi="Times New Roman"/>
          <w:color w:val="000000"/>
          <w:sz w:val="28"/>
          <w:szCs w:val="28"/>
        </w:rPr>
        <w:t>супрессанты</w:t>
      </w:r>
      <w:proofErr w:type="spellEnd"/>
      <w:r w:rsidR="00A92BDA" w:rsidRPr="00E16FA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A92BDA" w:rsidRPr="00E16FAD">
        <w:rPr>
          <w:rFonts w:ascii="Times New Roman" w:hAnsi="Times New Roman"/>
          <w:color w:val="000000"/>
          <w:sz w:val="28"/>
          <w:szCs w:val="28"/>
        </w:rPr>
        <w:t>Иммуно</w:t>
      </w:r>
      <w:r w:rsidR="00295D0C" w:rsidRPr="00E16FAD">
        <w:rPr>
          <w:rFonts w:ascii="Times New Roman" w:hAnsi="Times New Roman"/>
          <w:color w:val="000000"/>
          <w:sz w:val="28"/>
          <w:szCs w:val="28"/>
        </w:rPr>
        <w:t>супрессанты</w:t>
      </w:r>
      <w:proofErr w:type="spellEnd"/>
      <w:r w:rsidR="00295D0C" w:rsidRPr="00E16FAD">
        <w:rPr>
          <w:rFonts w:ascii="Times New Roman" w:hAnsi="Times New Roman"/>
          <w:color w:val="000000"/>
          <w:sz w:val="28"/>
          <w:szCs w:val="28"/>
        </w:rPr>
        <w:t xml:space="preserve"> д</w:t>
      </w:r>
      <w:r w:rsidR="00A92BDA" w:rsidRPr="00E16FAD">
        <w:rPr>
          <w:rFonts w:ascii="Times New Roman" w:hAnsi="Times New Roman"/>
          <w:color w:val="000000"/>
          <w:sz w:val="28"/>
          <w:szCs w:val="28"/>
        </w:rPr>
        <w:t xml:space="preserve">ругие. </w:t>
      </w:r>
      <w:bookmarkStart w:id="2" w:name="_Hlk55547211"/>
      <w:r w:rsidR="00A92BDA" w:rsidRPr="00E16FAD">
        <w:rPr>
          <w:rFonts w:ascii="Times New Roman" w:hAnsi="Times New Roman"/>
          <w:color w:val="000000"/>
          <w:sz w:val="28"/>
          <w:szCs w:val="28"/>
        </w:rPr>
        <w:t>Метотрексат.</w:t>
      </w:r>
    </w:p>
    <w:p w14:paraId="0F820622" w14:textId="77777777" w:rsidR="00295D0C" w:rsidRPr="00E16FAD" w:rsidRDefault="00295D0C" w:rsidP="00295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>Код АТХ</w:t>
      </w:r>
      <w:r w:rsidR="00D83BC4" w:rsidRPr="00E16FAD">
        <w:rPr>
          <w:rFonts w:ascii="Times New Roman" w:hAnsi="Times New Roman"/>
          <w:color w:val="000000"/>
          <w:sz w:val="28"/>
          <w:szCs w:val="28"/>
        </w:rPr>
        <w:t xml:space="preserve"> L</w:t>
      </w:r>
      <w:bookmarkEnd w:id="2"/>
      <w:r w:rsidR="00A92BDA" w:rsidRPr="00E16FAD">
        <w:rPr>
          <w:rFonts w:ascii="Times New Roman" w:hAnsi="Times New Roman"/>
          <w:color w:val="000000"/>
          <w:sz w:val="28"/>
          <w:szCs w:val="28"/>
          <w:lang w:val="en-US"/>
        </w:rPr>
        <w:t>04AX03</w:t>
      </w:r>
    </w:p>
    <w:p w14:paraId="38C31D47" w14:textId="77777777" w:rsidR="00295D0C" w:rsidRPr="00E16FAD" w:rsidRDefault="00295D0C" w:rsidP="00295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</w:p>
    <w:p w14:paraId="049CB413" w14:textId="0A31EFA4" w:rsidR="002C76D7" w:rsidRPr="00E16FAD" w:rsidRDefault="005444B2" w:rsidP="00295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E16F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AB4DEEC" w14:textId="77777777" w:rsidR="00D83BC4" w:rsidRPr="00E16FAD" w:rsidRDefault="00D83BC4" w:rsidP="00295D0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активный ревматоидный артрит у взрослых пациентов</w:t>
      </w:r>
    </w:p>
    <w:p w14:paraId="57D8C90B" w14:textId="77777777" w:rsidR="00D83BC4" w:rsidRPr="00E16FAD" w:rsidRDefault="00D83BC4" w:rsidP="00295D0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полиартрит у пациентов с тяжелым ювенильным идиопатическим артритом в активной форме при недостаточной эффективности нестероидных противовоспалительных препаратов (НПВП)</w:t>
      </w:r>
    </w:p>
    <w:p w14:paraId="32A58583" w14:textId="18E79B72" w:rsidR="00D83BC4" w:rsidRPr="00E16FAD" w:rsidRDefault="00D83BC4" w:rsidP="00295D0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тяжелые, не поддающиеся лечению, </w:t>
      </w:r>
      <w:proofErr w:type="spellStart"/>
      <w:r w:rsidRPr="00E16FAD">
        <w:rPr>
          <w:rFonts w:ascii="Times New Roman" w:hAnsi="Times New Roman"/>
          <w:sz w:val="28"/>
          <w:szCs w:val="28"/>
        </w:rPr>
        <w:t>инвалидизирующие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формы псориаза, резистентные к другой терапии (в т.ч. к фототерапии, </w:t>
      </w:r>
      <w:proofErr w:type="spellStart"/>
      <w:r w:rsidR="00816D90" w:rsidRPr="00E16FAD">
        <w:rPr>
          <w:rFonts w:ascii="Times New Roman" w:hAnsi="Times New Roman"/>
          <w:sz w:val="28"/>
          <w:szCs w:val="28"/>
        </w:rPr>
        <w:t>псораленоультрафиолетовое</w:t>
      </w:r>
      <w:proofErr w:type="spellEnd"/>
      <w:r w:rsidR="00816D90" w:rsidRPr="00E16FAD">
        <w:rPr>
          <w:rFonts w:ascii="Times New Roman" w:hAnsi="Times New Roman"/>
          <w:sz w:val="28"/>
          <w:szCs w:val="28"/>
        </w:rPr>
        <w:t xml:space="preserve"> облучение</w:t>
      </w:r>
      <w:r w:rsidR="00816D90" w:rsidRPr="00E16FA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16D90" w:rsidRPr="00E16FAD">
        <w:rPr>
          <w:rFonts w:ascii="Times New Roman" w:hAnsi="Times New Roman"/>
          <w:sz w:val="28"/>
          <w:szCs w:val="28"/>
        </w:rPr>
        <w:t>(ПУВА)</w:t>
      </w:r>
      <w:r w:rsidR="00067C97" w:rsidRPr="00E16FAD">
        <w:rPr>
          <w:rFonts w:ascii="Times New Roman" w:hAnsi="Times New Roman"/>
          <w:sz w:val="28"/>
          <w:szCs w:val="28"/>
          <w:lang w:val="kk-KZ"/>
        </w:rPr>
        <w:t xml:space="preserve"> терапии</w:t>
      </w:r>
      <w:r w:rsidRPr="00E16FA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sz w:val="28"/>
          <w:szCs w:val="28"/>
        </w:rPr>
        <w:t>ретиноидам</w:t>
      </w:r>
      <w:proofErr w:type="spellEnd"/>
      <w:r w:rsidRPr="00E16FAD">
        <w:rPr>
          <w:rFonts w:ascii="Times New Roman" w:hAnsi="Times New Roman"/>
          <w:sz w:val="28"/>
          <w:szCs w:val="28"/>
        </w:rPr>
        <w:t>)</w:t>
      </w:r>
    </w:p>
    <w:p w14:paraId="12FFB641" w14:textId="77777777" w:rsidR="00D83BC4" w:rsidRPr="00E16FAD" w:rsidRDefault="00D83BC4" w:rsidP="00295D0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тяжелый </w:t>
      </w:r>
      <w:proofErr w:type="spellStart"/>
      <w:r w:rsidRPr="00E16FAD">
        <w:rPr>
          <w:rFonts w:ascii="Times New Roman" w:hAnsi="Times New Roman"/>
          <w:sz w:val="28"/>
          <w:szCs w:val="28"/>
        </w:rPr>
        <w:t>псориатический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артрит у взрослых</w:t>
      </w:r>
    </w:p>
    <w:p w14:paraId="76FF8FE9" w14:textId="77777777" w:rsidR="00844CE8" w:rsidRPr="00E16FAD" w:rsidRDefault="00D83BC4" w:rsidP="00295D0C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болезнь Крона легкой или средней степени тяжести в режиме </w:t>
      </w:r>
      <w:proofErr w:type="spellStart"/>
      <w:r w:rsidRPr="00E16FAD">
        <w:rPr>
          <w:rFonts w:ascii="Times New Roman" w:hAnsi="Times New Roman"/>
          <w:sz w:val="28"/>
          <w:szCs w:val="28"/>
        </w:rPr>
        <w:t>монотерапии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или в комбинации с кортикостероидами у взрослых в случаях резистентности к </w:t>
      </w:r>
      <w:proofErr w:type="spellStart"/>
      <w:r w:rsidRPr="00E16FAD">
        <w:rPr>
          <w:rFonts w:ascii="Times New Roman" w:hAnsi="Times New Roman"/>
          <w:sz w:val="28"/>
          <w:szCs w:val="28"/>
        </w:rPr>
        <w:t>тиопуринам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или при их непереносимости</w:t>
      </w:r>
    </w:p>
    <w:p w14:paraId="3046F733" w14:textId="77777777" w:rsidR="00295D0C" w:rsidRPr="00E16FAD" w:rsidRDefault="00295D0C" w:rsidP="00295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540D59B" w14:textId="77777777" w:rsidR="00DB406A" w:rsidRPr="00E16FAD" w:rsidRDefault="00DB406A" w:rsidP="00295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634F6DCE" w14:textId="77777777" w:rsidR="007D0E84" w:rsidRPr="00E16FAD" w:rsidRDefault="007D0E84" w:rsidP="00295D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43419B27" w14:textId="77777777" w:rsidR="00B00DD8" w:rsidRPr="00E16FAD" w:rsidRDefault="00B00DD8" w:rsidP="00B00DD8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гиперчувствительности к активному веществу или любому из вспомогательных веществ, перечисленных в разделе 6.1</w:t>
      </w:r>
    </w:p>
    <w:p w14:paraId="671A0C6C" w14:textId="77777777" w:rsidR="00D04B60" w:rsidRPr="00E16FAD" w:rsidRDefault="00D04B60" w:rsidP="00295D0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тяжелое нарушение функции печени</w:t>
      </w:r>
    </w:p>
    <w:p w14:paraId="6D5B818B" w14:textId="77777777" w:rsidR="00D04B60" w:rsidRPr="00E16FAD" w:rsidRDefault="00D04B60" w:rsidP="00295D0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lastRenderedPageBreak/>
        <w:t>алкоголизм</w:t>
      </w:r>
    </w:p>
    <w:p w14:paraId="6A85AA6E" w14:textId="0DB32699" w:rsidR="00D04B60" w:rsidRPr="00E16FAD" w:rsidRDefault="00D04B60" w:rsidP="00295D0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  <w:lang w:bidi="ru-RU"/>
        </w:rPr>
        <w:t xml:space="preserve">тяжелое нарушение функции почек </w:t>
      </w:r>
      <w:r w:rsidRPr="00E16FAD">
        <w:rPr>
          <w:rFonts w:ascii="Times New Roman" w:hAnsi="Times New Roman"/>
          <w:sz w:val="28"/>
          <w:szCs w:val="28"/>
        </w:rPr>
        <w:t xml:space="preserve">(клиренс креатинина менее </w:t>
      </w:r>
      <w:r w:rsidR="00295D0C" w:rsidRPr="00E16FAD">
        <w:rPr>
          <w:rFonts w:ascii="Times New Roman" w:hAnsi="Times New Roman"/>
          <w:sz w:val="28"/>
          <w:szCs w:val="28"/>
        </w:rPr>
        <w:t>3</w:t>
      </w:r>
      <w:r w:rsidRPr="00E16FAD">
        <w:rPr>
          <w:rFonts w:ascii="Times New Roman" w:hAnsi="Times New Roman"/>
          <w:sz w:val="28"/>
          <w:szCs w:val="28"/>
        </w:rPr>
        <w:t>0 мл/мин)</w:t>
      </w:r>
    </w:p>
    <w:p w14:paraId="24E81E65" w14:textId="77777777" w:rsidR="00D04B60" w:rsidRPr="00E16FAD" w:rsidRDefault="00D04B60" w:rsidP="00295D0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нарушения кроветворения в анамнезе, такие как гипоплазия костного мозга, лейкопения, тромбоцитопения, выраженная анемия</w:t>
      </w:r>
    </w:p>
    <w:p w14:paraId="77E2D9C3" w14:textId="77777777" w:rsidR="00D04B60" w:rsidRPr="00E16FAD" w:rsidRDefault="00D04B60" w:rsidP="00295D0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тяжелые острые или хронические инфекционные заболевания, такие как туберкулез, ВИЧ-инфекции или другие иммунодефицитные состояния</w:t>
      </w:r>
    </w:p>
    <w:p w14:paraId="54C8FC35" w14:textId="77777777" w:rsidR="00D04B60" w:rsidRPr="00E16FAD" w:rsidRDefault="00D04B60" w:rsidP="00295D0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язвы ротовой полости, язвенная болезнь желудочно-кишечного тракта в активной фазе</w:t>
      </w:r>
    </w:p>
    <w:p w14:paraId="3D806C86" w14:textId="0C23F8B2" w:rsidR="00D04B60" w:rsidRPr="00E16FAD" w:rsidRDefault="00D04B60" w:rsidP="00295D0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беременность</w:t>
      </w:r>
      <w:r w:rsidR="00B00DD8" w:rsidRPr="00E16FAD">
        <w:rPr>
          <w:rFonts w:ascii="Times New Roman" w:hAnsi="Times New Roman"/>
          <w:sz w:val="28"/>
          <w:szCs w:val="28"/>
        </w:rPr>
        <w:t xml:space="preserve"> и </w:t>
      </w:r>
      <w:r w:rsidRPr="00E16FAD">
        <w:rPr>
          <w:rFonts w:ascii="Times New Roman" w:hAnsi="Times New Roman"/>
          <w:sz w:val="28"/>
          <w:szCs w:val="28"/>
        </w:rPr>
        <w:t>период кормления грудью</w:t>
      </w:r>
    </w:p>
    <w:p w14:paraId="02D02068" w14:textId="77777777" w:rsidR="00D04B60" w:rsidRPr="00E16FAD" w:rsidRDefault="00D04B60" w:rsidP="00295D0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одновременная вакцинация живыми вакцинами</w:t>
      </w:r>
    </w:p>
    <w:p w14:paraId="0577F373" w14:textId="77777777" w:rsidR="00D04B60" w:rsidRPr="00E16FAD" w:rsidRDefault="00D04B60" w:rsidP="00295D0C">
      <w:pPr>
        <w:numPr>
          <w:ilvl w:val="0"/>
          <w:numId w:val="27"/>
        </w:numPr>
        <w:tabs>
          <w:tab w:val="clear" w:pos="720"/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детский возраст до 3 лет</w:t>
      </w:r>
    </w:p>
    <w:p w14:paraId="65C3490F" w14:textId="77777777" w:rsidR="007D0E84" w:rsidRPr="00E16FAD" w:rsidRDefault="007D0E84" w:rsidP="00295D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2045C5A1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Предварительно заполненный шприц предназначен только для одноразового использования.</w:t>
      </w:r>
    </w:p>
    <w:p w14:paraId="2FBB6783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Пожалуйста, обратите внимание, что все содержимое должно быть использовано.</w:t>
      </w:r>
    </w:p>
    <w:p w14:paraId="676ED351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Раствор метотрексата для инъекций вводят подкожно.</w:t>
      </w:r>
    </w:p>
    <w:p w14:paraId="3D2311C0" w14:textId="76243E16" w:rsidR="00144ED0" w:rsidRPr="00E16FAD" w:rsidRDefault="00144ED0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Общую продолжительность лечения определяет врач.</w:t>
      </w:r>
    </w:p>
    <w:p w14:paraId="056CD104" w14:textId="77777777" w:rsidR="00144ED0" w:rsidRPr="00E16FAD" w:rsidRDefault="00144ED0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 переходе от перорального применения метотрексата к парентеральному способу введения может потребоваться снижение дозы из-за различия биодоступности препарата при разных способах применения.</w:t>
      </w:r>
    </w:p>
    <w:p w14:paraId="3A9B26E6" w14:textId="1DB98B9E" w:rsidR="00144ED0" w:rsidRPr="00E16FAD" w:rsidRDefault="00144ED0" w:rsidP="006B28F8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 назначении препарата следует рассмотреть вопрос одновременного назначения препаратов фолиевой кислоты в соответствии с существующими стандартами лечения.</w:t>
      </w:r>
    </w:p>
    <w:p w14:paraId="33BA543C" w14:textId="77777777" w:rsidR="00A9352C" w:rsidRPr="00E16FAD" w:rsidRDefault="00A9352C" w:rsidP="006B28F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FAD">
        <w:rPr>
          <w:rFonts w:ascii="Times New Roman" w:eastAsia="Times New Roman" w:hAnsi="Times New Roman"/>
          <w:sz w:val="28"/>
          <w:szCs w:val="28"/>
        </w:rPr>
        <w:t xml:space="preserve">Если вы, ваш партнер или опекун заметили появление новых или ухудшение имеющихся неврологических симптомов, включая мышечную слабость, нарушение зрения, изменения мышления, памяти и ориентации, ведущие к спутанности сознания и изменению личности, следует немедленно обратиться к врачу. Описанные состояния могут быть симптомами очень редкой серьезной инфекции головного мозга, известной как </w:t>
      </w:r>
      <w:proofErr w:type="gramStart"/>
      <w:r w:rsidRPr="00E16FAD">
        <w:rPr>
          <w:rFonts w:ascii="Times New Roman" w:eastAsia="Times New Roman" w:hAnsi="Times New Roman"/>
          <w:sz w:val="28"/>
          <w:szCs w:val="28"/>
        </w:rPr>
        <w:t>прогрессирующая</w:t>
      </w:r>
      <w:proofErr w:type="gramEnd"/>
      <w:r w:rsidRPr="00E16FAD">
        <w:rPr>
          <w:rFonts w:ascii="Times New Roman" w:eastAsia="Times New Roman" w:hAnsi="Times New Roman"/>
          <w:sz w:val="28"/>
          <w:szCs w:val="28"/>
        </w:rPr>
        <w:t xml:space="preserve"> мультифокальная </w:t>
      </w:r>
      <w:proofErr w:type="spellStart"/>
      <w:r w:rsidRPr="00E16FAD">
        <w:rPr>
          <w:rFonts w:ascii="Times New Roman" w:eastAsia="Times New Roman" w:hAnsi="Times New Roman"/>
          <w:sz w:val="28"/>
          <w:szCs w:val="28"/>
        </w:rPr>
        <w:t>лейкоэнцефалопатия</w:t>
      </w:r>
      <w:proofErr w:type="spellEnd"/>
      <w:r w:rsidRPr="00E16FAD">
        <w:rPr>
          <w:rFonts w:ascii="Times New Roman" w:eastAsia="Times New Roman" w:hAnsi="Times New Roman"/>
          <w:sz w:val="28"/>
          <w:szCs w:val="28"/>
        </w:rPr>
        <w:t xml:space="preserve"> (ПМЛ).</w:t>
      </w:r>
    </w:p>
    <w:p w14:paraId="6D3011FB" w14:textId="77777777" w:rsidR="007D0E84" w:rsidRPr="00E16FAD" w:rsidRDefault="007D0E84" w:rsidP="00295D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32D250BA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>Оксид азота</w:t>
      </w:r>
    </w:p>
    <w:p w14:paraId="496FD0E7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Использование оксида азота усиливает влияние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метотрексата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на метаболизм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фолата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что приводит к повышенной токсичности такой, как </w:t>
      </w:r>
      <w:proofErr w:type="gramStart"/>
      <w:r w:rsidRPr="00E16FAD">
        <w:rPr>
          <w:rFonts w:ascii="Times New Roman" w:hAnsi="Times New Roman"/>
          <w:color w:val="000000"/>
          <w:sz w:val="28"/>
          <w:szCs w:val="28"/>
        </w:rPr>
        <w:t>тяжелая</w:t>
      </w:r>
      <w:proofErr w:type="gramEnd"/>
      <w:r w:rsidRPr="00E16FAD">
        <w:rPr>
          <w:rFonts w:ascii="Times New Roman" w:hAnsi="Times New Roman"/>
          <w:color w:val="000000"/>
          <w:sz w:val="28"/>
          <w:szCs w:val="28"/>
        </w:rPr>
        <w:t xml:space="preserve"> непредсказуемая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миелосупрессия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и стоматит. Хотя это влияние может быть уменьшено путем введения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фолината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кальция, следует </w:t>
      </w:r>
      <w:proofErr w:type="gramStart"/>
      <w:r w:rsidRPr="00E16FAD">
        <w:rPr>
          <w:rFonts w:ascii="Times New Roman" w:hAnsi="Times New Roman"/>
          <w:color w:val="000000"/>
          <w:sz w:val="28"/>
          <w:szCs w:val="28"/>
        </w:rPr>
        <w:t>избегать</w:t>
      </w:r>
      <w:proofErr w:type="gramEnd"/>
      <w:r w:rsidRPr="00E16FAD">
        <w:rPr>
          <w:rFonts w:ascii="Times New Roman" w:hAnsi="Times New Roman"/>
          <w:color w:val="000000"/>
          <w:sz w:val="28"/>
          <w:szCs w:val="28"/>
        </w:rPr>
        <w:t xml:space="preserve"> их одновременного использования.</w:t>
      </w:r>
    </w:p>
    <w:p w14:paraId="61AE05E2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 xml:space="preserve">Алкоголь, </w:t>
      </w:r>
      <w:proofErr w:type="spellStart"/>
      <w:r w:rsidRPr="00E16FAD">
        <w:rPr>
          <w:rFonts w:ascii="Times New Roman" w:hAnsi="Times New Roman"/>
          <w:i/>
          <w:color w:val="000000"/>
          <w:sz w:val="28"/>
          <w:szCs w:val="28"/>
        </w:rPr>
        <w:t>гепатотоксичные</w:t>
      </w:r>
      <w:proofErr w:type="spellEnd"/>
      <w:r w:rsidRPr="00E16FAD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i/>
          <w:color w:val="000000"/>
          <w:sz w:val="28"/>
          <w:szCs w:val="28"/>
        </w:rPr>
        <w:t>гематотоксичные</w:t>
      </w:r>
      <w:proofErr w:type="spellEnd"/>
      <w:r w:rsidRPr="00E16FAD">
        <w:rPr>
          <w:rFonts w:ascii="Times New Roman" w:hAnsi="Times New Roman"/>
          <w:i/>
          <w:color w:val="000000"/>
          <w:sz w:val="28"/>
          <w:szCs w:val="28"/>
        </w:rPr>
        <w:t xml:space="preserve"> лекарственные препараты</w:t>
      </w:r>
    </w:p>
    <w:p w14:paraId="6C249261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Вероятность проявления метотрексатом гепатотоксического действия возрастает при регулярном потреблении алкоголя, а также при одновременном применении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метотрексата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и других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гепатотоксичных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6FAD">
        <w:rPr>
          <w:rFonts w:ascii="Times New Roman" w:hAnsi="Times New Roman"/>
          <w:color w:val="000000"/>
          <w:sz w:val="28"/>
          <w:szCs w:val="28"/>
        </w:rPr>
        <w:lastRenderedPageBreak/>
        <w:t xml:space="preserve">лекарственных препаратов. За пациентами, одновременно применяющими другие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гепатотоксичные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лекарственные препараты (например,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лефлуномид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>), необходимо осуществлять тщательное наблюдение. Это также касается случаев одновременного назначения препаратов, угнетающих кроветворение (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лефлуномид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азатиоприн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сульфасалазин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ретиноиды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). При одновременном назначении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лефлуномида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метотрексата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возрастает риск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панцитопении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гепатотоксичности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>.</w:t>
      </w:r>
    </w:p>
    <w:p w14:paraId="521086ED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Комбинированная терапия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метотрексатом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ретиноидами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E16FAD">
        <w:rPr>
          <w:rFonts w:ascii="Times New Roman" w:hAnsi="Times New Roman"/>
          <w:color w:val="000000"/>
          <w:sz w:val="28"/>
          <w:szCs w:val="28"/>
        </w:rPr>
        <w:t>такими</w:t>
      </w:r>
      <w:proofErr w:type="gramEnd"/>
      <w:r w:rsidRPr="00E16FAD">
        <w:rPr>
          <w:rFonts w:ascii="Times New Roman" w:hAnsi="Times New Roman"/>
          <w:color w:val="000000"/>
          <w:sz w:val="28"/>
          <w:szCs w:val="28"/>
        </w:rPr>
        <w:t xml:space="preserve">, как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ацитретин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этретинат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увеличивает риск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гепатотоксичности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>.</w:t>
      </w:r>
    </w:p>
    <w:p w14:paraId="5F151D52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>Антибиотики для приема внутрь</w:t>
      </w:r>
    </w:p>
    <w:p w14:paraId="4812A9DB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>Антибиотики для приема внутрь такие, как тетрациклины, хлорамфеникол и плохо всасывающиеся в ЖКТ антибиотики широкого спектра действия, могут влиять на энтерогепатическую циркуляцию путем подавления нормальной микрофлоры кишечника или бактериального метаболизма.</w:t>
      </w:r>
    </w:p>
    <w:p w14:paraId="0F0B12F3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>Антибиотики</w:t>
      </w:r>
    </w:p>
    <w:p w14:paraId="36E2A655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Такие антибиотики как пенициллины,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гликопептиды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сульфаниламиды,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ципрофлоксацин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цефалотин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в отдельных случаях могут снижать выведение метотрексата почками, что приводит к увеличению его концентрации в плазме и, таким образом, к риску проявления гематологической и желудочно-кишечной токсичности.</w:t>
      </w:r>
    </w:p>
    <w:p w14:paraId="3013CB3E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>Лекарственные препараты с высокой степенью связывания с белками плазмы</w:t>
      </w:r>
    </w:p>
    <w:p w14:paraId="0268E47E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Метотрексат связывается с белками плазмы и может вытесняться другими лекарственными препаратами, связывающимися с белками, например, салицилатами, гипогликемическими средствами, диуретиками, сульфаниламидами,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дифенилгидантоином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тетрациклинами,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хлорамфениколом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парааминобензоевой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кислотой и противовоспалительными средствами, которые могут привести к нарастанию токсичности метотрексата при одновременном применении.</w:t>
      </w:r>
    </w:p>
    <w:p w14:paraId="0D125685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E16FAD">
        <w:rPr>
          <w:rFonts w:ascii="Times New Roman" w:hAnsi="Times New Roman"/>
          <w:i/>
          <w:color w:val="000000"/>
          <w:sz w:val="28"/>
          <w:szCs w:val="28"/>
        </w:rPr>
        <w:t>Пробенецид</w:t>
      </w:r>
      <w:proofErr w:type="spellEnd"/>
      <w:r w:rsidRPr="00E16FAD">
        <w:rPr>
          <w:rFonts w:ascii="Times New Roman" w:hAnsi="Times New Roman"/>
          <w:i/>
          <w:color w:val="000000"/>
          <w:sz w:val="28"/>
          <w:szCs w:val="28"/>
        </w:rPr>
        <w:t xml:space="preserve">, слабые органические кислоты, препараты </w:t>
      </w:r>
      <w:proofErr w:type="spellStart"/>
      <w:r w:rsidRPr="00E16FAD">
        <w:rPr>
          <w:rFonts w:ascii="Times New Roman" w:hAnsi="Times New Roman"/>
          <w:i/>
          <w:color w:val="000000"/>
          <w:sz w:val="28"/>
          <w:szCs w:val="28"/>
        </w:rPr>
        <w:t>пиразолового</w:t>
      </w:r>
      <w:proofErr w:type="spellEnd"/>
      <w:r w:rsidRPr="00E16FAD">
        <w:rPr>
          <w:rFonts w:ascii="Times New Roman" w:hAnsi="Times New Roman"/>
          <w:i/>
          <w:color w:val="000000"/>
          <w:sz w:val="28"/>
          <w:szCs w:val="28"/>
        </w:rPr>
        <w:t xml:space="preserve"> ряда и нестероидные противовоспалительные препараты</w:t>
      </w:r>
    </w:p>
    <w:p w14:paraId="138DEE42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Пробенецид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слабые органические кислоты (такие, как петлевые диуретики) и препараты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пиразолового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ряда (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фенилбутазон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>) снижают выведение метотрексата и могут приводить к увеличению его концентрации в плазме и, таким образом, к увеличению гематологической токсичности. Риск увеличения токсичности возникает при комбинации метотрексата с нестероидными противовоспалительными препаратами или салицилатами.</w:t>
      </w:r>
    </w:p>
    <w:p w14:paraId="46FA1E74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>Лекарственные средства, воздействующие на костный мозг</w:t>
      </w:r>
    </w:p>
    <w:p w14:paraId="046F137C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В случае применения препаратов, способных оказывать побочное действие на костный мозг (например, сульфаниламиды,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триметоприм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сульфаметоксазол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хлорамфеникол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пириметамин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>), необходимо обратить внимание на возможность выраженного угнетения кроветворения.</w:t>
      </w:r>
    </w:p>
    <w:p w14:paraId="344B34D8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 xml:space="preserve">Препараты, способные вызывать дефицит </w:t>
      </w:r>
      <w:proofErr w:type="spellStart"/>
      <w:r w:rsidRPr="00E16FAD">
        <w:rPr>
          <w:rFonts w:ascii="Times New Roman" w:hAnsi="Times New Roman"/>
          <w:i/>
          <w:color w:val="000000"/>
          <w:sz w:val="28"/>
          <w:szCs w:val="28"/>
        </w:rPr>
        <w:t>фолатов</w:t>
      </w:r>
      <w:proofErr w:type="spellEnd"/>
    </w:p>
    <w:p w14:paraId="4437102B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lastRenderedPageBreak/>
        <w:t xml:space="preserve">Одновременное назначение препаратов, вызывающих дефицит фолиевой кислоты (например, сульфаниламидов,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триметоприма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сульфаметоксазола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>), может приводить к увеличению токсичности метотрексата. Поэтому рекомендуется соблюдать особую осторожность в назначении таких препаратов во избежание развития дефицита фолиевой кислоты.</w:t>
      </w:r>
    </w:p>
    <w:p w14:paraId="0F742953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 xml:space="preserve">Препараты, содержащие фолиевую или </w:t>
      </w:r>
      <w:proofErr w:type="spellStart"/>
      <w:r w:rsidRPr="00E16FAD">
        <w:rPr>
          <w:rFonts w:ascii="Times New Roman" w:hAnsi="Times New Roman"/>
          <w:i/>
          <w:color w:val="000000"/>
          <w:sz w:val="28"/>
          <w:szCs w:val="28"/>
        </w:rPr>
        <w:t>фолиниевую</w:t>
      </w:r>
      <w:proofErr w:type="spellEnd"/>
      <w:r w:rsidRPr="00E16FAD">
        <w:rPr>
          <w:rFonts w:ascii="Times New Roman" w:hAnsi="Times New Roman"/>
          <w:i/>
          <w:color w:val="000000"/>
          <w:sz w:val="28"/>
          <w:szCs w:val="28"/>
        </w:rPr>
        <w:t xml:space="preserve"> кислоту</w:t>
      </w:r>
    </w:p>
    <w:p w14:paraId="7662179C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Витаминные или другие препараты, содержащие фолиевую,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фолиниевую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кислоты или их производные, могут снизить эффективность метотрексата.</w:t>
      </w:r>
    </w:p>
    <w:p w14:paraId="2C30C04C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>Другие противоревматические лекарственные средства</w:t>
      </w:r>
    </w:p>
    <w:p w14:paraId="654DEA91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Совместное назначение с другими противоревматическими лекарственными средствами (препараты золота,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пеницилламин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гидроксихлорокин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сульфасалазин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азатиоприн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>, циклоспорин) обычно не приводит к увеличению токсических эффектов метотрексата.</w:t>
      </w:r>
    </w:p>
    <w:p w14:paraId="792C9709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E16FAD">
        <w:rPr>
          <w:rFonts w:ascii="Times New Roman" w:hAnsi="Times New Roman"/>
          <w:i/>
          <w:color w:val="000000"/>
          <w:sz w:val="28"/>
          <w:szCs w:val="28"/>
        </w:rPr>
        <w:t>Сульфасалазин</w:t>
      </w:r>
      <w:proofErr w:type="spellEnd"/>
    </w:p>
    <w:p w14:paraId="3EAB36B8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Хотя комбинация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метотрексата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сульфасалазином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может стать причиной увеличения эффективности метотрексата и, как результат, усиливать побочные эффекты, связанные с ингибированием синтеза фолиевой кислоты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сульфасалазином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однако такие побочные эффекты в ходе ряда </w:t>
      </w:r>
      <w:proofErr w:type="spellStart"/>
      <w:proofErr w:type="gramStart"/>
      <w:r w:rsidRPr="00E16FAD">
        <w:rPr>
          <w:rFonts w:ascii="Times New Roman" w:hAnsi="Times New Roman"/>
          <w:color w:val="000000"/>
          <w:sz w:val="28"/>
          <w:szCs w:val="28"/>
        </w:rPr>
        <w:t>исследова-ний</w:t>
      </w:r>
      <w:proofErr w:type="spellEnd"/>
      <w:proofErr w:type="gramEnd"/>
      <w:r w:rsidRPr="00E16FAD">
        <w:rPr>
          <w:rFonts w:ascii="Times New Roman" w:hAnsi="Times New Roman"/>
          <w:color w:val="000000"/>
          <w:sz w:val="28"/>
          <w:szCs w:val="28"/>
        </w:rPr>
        <w:t xml:space="preserve"> наблюдались лишь в отдельных редких случаях.</w:t>
      </w:r>
    </w:p>
    <w:p w14:paraId="495F13D3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E16FAD">
        <w:rPr>
          <w:rFonts w:ascii="Times New Roman" w:hAnsi="Times New Roman"/>
          <w:i/>
          <w:color w:val="000000"/>
          <w:sz w:val="28"/>
          <w:szCs w:val="28"/>
        </w:rPr>
        <w:t>Меркаптопурин</w:t>
      </w:r>
      <w:proofErr w:type="spellEnd"/>
    </w:p>
    <w:p w14:paraId="5F885D77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Метотрексат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увеличивает концентрацию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меркаптопурина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в плазме, ввиду чего при комбинированной терапии может потребоваться коррекция доз.</w:t>
      </w:r>
    </w:p>
    <w:p w14:paraId="0D7699F1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>Ингибиторы протонной помпы</w:t>
      </w:r>
    </w:p>
    <w:p w14:paraId="19FC61C2" w14:textId="1F414939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Одновременное назначение ингибиторов протонного насоса (таких, как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омепразол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или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пантопразол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) может приводить к взаимодействию. Одновременное применение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метотрексата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омепразола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приводит к задержке выведения метотрексата. В комбинации с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пантопразолом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сообщалось об одном случае снижения выведения метаболита метотрексата – 7-гидроксиметотрексата, что сопровождалось миалгией и дрожью.</w:t>
      </w:r>
    </w:p>
    <w:p w14:paraId="023F1397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>Теофиллин</w:t>
      </w:r>
    </w:p>
    <w:p w14:paraId="48DF3F9A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>Метотрексат может уменьшать клиренс теофиллина; должна отслеживаться концентрация теофиллина при одновременном применении с метотрексатом.</w:t>
      </w:r>
    </w:p>
    <w:p w14:paraId="3797D62F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i/>
          <w:color w:val="000000"/>
          <w:sz w:val="28"/>
          <w:szCs w:val="28"/>
        </w:rPr>
        <w:t>Кофеи</w:t>
      </w:r>
      <w:proofErr w:type="gramStart"/>
      <w:r w:rsidRPr="00E16FAD">
        <w:rPr>
          <w:rFonts w:ascii="Times New Roman" w:hAnsi="Times New Roman"/>
          <w:i/>
          <w:color w:val="000000"/>
          <w:sz w:val="28"/>
          <w:szCs w:val="28"/>
        </w:rPr>
        <w:t>н-</w:t>
      </w:r>
      <w:proofErr w:type="gramEnd"/>
      <w:r w:rsidRPr="00E16FAD">
        <w:rPr>
          <w:rFonts w:ascii="Times New Roman" w:hAnsi="Times New Roman"/>
          <w:i/>
          <w:color w:val="000000"/>
          <w:sz w:val="28"/>
          <w:szCs w:val="28"/>
        </w:rPr>
        <w:t xml:space="preserve"> и </w:t>
      </w:r>
      <w:proofErr w:type="spellStart"/>
      <w:r w:rsidRPr="00E16FAD">
        <w:rPr>
          <w:rFonts w:ascii="Times New Roman" w:hAnsi="Times New Roman"/>
          <w:i/>
          <w:color w:val="000000"/>
          <w:sz w:val="28"/>
          <w:szCs w:val="28"/>
        </w:rPr>
        <w:t>теофиллинсодержащие</w:t>
      </w:r>
      <w:proofErr w:type="spellEnd"/>
      <w:r w:rsidRPr="00E16FAD">
        <w:rPr>
          <w:rFonts w:ascii="Times New Roman" w:hAnsi="Times New Roman"/>
          <w:i/>
          <w:color w:val="000000"/>
          <w:sz w:val="28"/>
          <w:szCs w:val="28"/>
        </w:rPr>
        <w:t xml:space="preserve"> напитки</w:t>
      </w:r>
    </w:p>
    <w:p w14:paraId="57008E62" w14:textId="7D6F1F30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>Во время лечения метотрексатом следует избегать употребления в больших количествах кофеи</w:t>
      </w:r>
      <w:proofErr w:type="gramStart"/>
      <w:r w:rsidRPr="00E16FAD"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 w:rsidRPr="00E16FAD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теофиллинсодержащих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напитков (кофе, содержащие кофеин напитки, черный чай).</w:t>
      </w:r>
    </w:p>
    <w:p w14:paraId="213376DE" w14:textId="77777777" w:rsidR="00853988" w:rsidRPr="00E16FAD" w:rsidRDefault="00853988" w:rsidP="00295D0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3" w:name="_Hlk71708216"/>
      <w:proofErr w:type="spellStart"/>
      <w:r w:rsidRPr="00E16FAD">
        <w:rPr>
          <w:rFonts w:ascii="Times New Roman" w:eastAsia="Times New Roman" w:hAnsi="Times New Roman"/>
          <w:i/>
          <w:sz w:val="28"/>
          <w:szCs w:val="28"/>
          <w:lang w:eastAsia="ru-RU"/>
        </w:rPr>
        <w:t>Холестирамин</w:t>
      </w:r>
      <w:proofErr w:type="spellEnd"/>
    </w:p>
    <w:bookmarkEnd w:id="3"/>
    <w:p w14:paraId="4E63E4E2" w14:textId="77777777" w:rsidR="00853988" w:rsidRPr="00E16FAD" w:rsidRDefault="00853988" w:rsidP="00295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Холестирамин</w:t>
      </w:r>
      <w:proofErr w:type="spellEnd"/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увеличивать внепочечное выведение метотрексата путем прерывания энтерогепатической циркуляции.</w:t>
      </w:r>
    </w:p>
    <w:p w14:paraId="303514A7" w14:textId="77777777" w:rsidR="00D43297" w:rsidRPr="00E16FAD" w:rsidRDefault="00D43297" w:rsidP="00295D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7F661239" w14:textId="77777777" w:rsidR="00144ED0" w:rsidRPr="00E16FAD" w:rsidRDefault="00144ED0" w:rsidP="00295D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iCs/>
          <w:sz w:val="28"/>
          <w:szCs w:val="28"/>
        </w:rPr>
        <w:t xml:space="preserve">Пациенты должны быть четко проинформированы о том, что препарат следует применять один раз в неделю, а не ежедневно. За проходящими терапию </w:t>
      </w:r>
      <w:r w:rsidRPr="00E16FAD">
        <w:rPr>
          <w:rFonts w:ascii="Times New Roman" w:hAnsi="Times New Roman"/>
          <w:iCs/>
          <w:sz w:val="28"/>
          <w:szCs w:val="28"/>
          <w:lang w:val="kk-KZ"/>
        </w:rPr>
        <w:t>метотрексатом</w:t>
      </w:r>
      <w:r w:rsidRPr="00E16FAD">
        <w:rPr>
          <w:rFonts w:ascii="Times New Roman" w:hAnsi="Times New Roman"/>
          <w:iCs/>
          <w:sz w:val="28"/>
          <w:szCs w:val="28"/>
        </w:rPr>
        <w:t xml:space="preserve"> пациентами следует осуществлять надлежащее </w:t>
      </w:r>
      <w:r w:rsidRPr="00E16FAD">
        <w:rPr>
          <w:rFonts w:ascii="Times New Roman" w:hAnsi="Times New Roman"/>
          <w:iCs/>
          <w:sz w:val="28"/>
          <w:szCs w:val="28"/>
        </w:rPr>
        <w:lastRenderedPageBreak/>
        <w:t xml:space="preserve">наблюдение с тем, чтобы признаки возможного токсического воздействия и побочных реакций выявлялись и оценивались с минимальной задержкой. </w:t>
      </w:r>
      <w:r w:rsidRPr="00E16FAD">
        <w:rPr>
          <w:rFonts w:ascii="Times New Roman" w:hAnsi="Times New Roman"/>
          <w:iCs/>
          <w:sz w:val="28"/>
          <w:szCs w:val="28"/>
          <w:lang w:val="kk-KZ"/>
        </w:rPr>
        <w:t>Метотрексат</w:t>
      </w:r>
      <w:r w:rsidRPr="00E16FAD">
        <w:rPr>
          <w:rFonts w:ascii="Times New Roman" w:hAnsi="Times New Roman"/>
          <w:iCs/>
          <w:sz w:val="28"/>
          <w:szCs w:val="28"/>
        </w:rPr>
        <w:t xml:space="preserve"> должен назначаться только врачом-специалистом, имеющим достаточные знания и опыт проведения </w:t>
      </w:r>
      <w:proofErr w:type="spellStart"/>
      <w:r w:rsidRPr="00E16FAD">
        <w:rPr>
          <w:rFonts w:ascii="Times New Roman" w:hAnsi="Times New Roman"/>
          <w:iCs/>
          <w:sz w:val="28"/>
          <w:szCs w:val="28"/>
        </w:rPr>
        <w:t>антиметаболической</w:t>
      </w:r>
      <w:proofErr w:type="spellEnd"/>
      <w:r w:rsidRPr="00E16FAD">
        <w:rPr>
          <w:rFonts w:ascii="Times New Roman" w:hAnsi="Times New Roman"/>
          <w:iCs/>
          <w:sz w:val="28"/>
          <w:szCs w:val="28"/>
        </w:rPr>
        <w:t xml:space="preserve"> терапии. Ввиду возможного развития тяжелых, или даже фатальных побочных реакций, пациенты должны быть полностью информированы врачом о возможных рисках и рекомендуемых мерах безопасности.</w:t>
      </w:r>
    </w:p>
    <w:p w14:paraId="09D60075" w14:textId="77777777" w:rsidR="00D34C3B" w:rsidRPr="00E16FAD" w:rsidRDefault="00D34C3B" w:rsidP="00295D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iCs/>
          <w:sz w:val="28"/>
          <w:szCs w:val="28"/>
        </w:rPr>
        <w:t xml:space="preserve">Следует избегать контакта </w:t>
      </w:r>
      <w:r w:rsidRPr="00E16FAD">
        <w:rPr>
          <w:rFonts w:ascii="Times New Roman" w:hAnsi="Times New Roman"/>
          <w:iCs/>
          <w:sz w:val="28"/>
          <w:szCs w:val="28"/>
          <w:lang w:val="kk-KZ"/>
        </w:rPr>
        <w:t>метотрексата</w:t>
      </w:r>
      <w:r w:rsidRPr="00E16FAD">
        <w:rPr>
          <w:rFonts w:ascii="Times New Roman" w:hAnsi="Times New Roman"/>
          <w:iCs/>
          <w:sz w:val="28"/>
          <w:szCs w:val="28"/>
        </w:rPr>
        <w:t xml:space="preserve"> с кожей и слизистыми оболочками. При попадании препарата на кожу и слизистые их следует немедленно промыть большим количеством воды.</w:t>
      </w:r>
    </w:p>
    <w:p w14:paraId="71DC43C5" w14:textId="77777777" w:rsidR="00144ED0" w:rsidRPr="00E16FAD" w:rsidRDefault="00144ED0" w:rsidP="00295D0C">
      <w:pPr>
        <w:pStyle w:val="a9"/>
        <w:widowControl w:val="0"/>
        <w:spacing w:after="0"/>
        <w:jc w:val="both"/>
        <w:rPr>
          <w:i/>
          <w:sz w:val="28"/>
          <w:szCs w:val="28"/>
          <w:u w:val="single"/>
        </w:rPr>
      </w:pPr>
      <w:r w:rsidRPr="00E16FAD">
        <w:rPr>
          <w:i/>
          <w:sz w:val="28"/>
          <w:szCs w:val="28"/>
          <w:u w:val="single"/>
        </w:rPr>
        <w:t>Рекомендуемые обследования и меры безопасности</w:t>
      </w:r>
    </w:p>
    <w:p w14:paraId="5DCF8330" w14:textId="77777777" w:rsidR="00392475" w:rsidRPr="00E16FAD" w:rsidRDefault="00392475" w:rsidP="00295D0C">
      <w:pPr>
        <w:widowControl w:val="0"/>
        <w:numPr>
          <w:ilvl w:val="0"/>
          <w:numId w:val="34"/>
        </w:numPr>
        <w:tabs>
          <w:tab w:val="clear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Обследование слизистой полости рта и глотки на предмет изменений слизистой оболочки.</w:t>
      </w:r>
    </w:p>
    <w:p w14:paraId="7CE8A3EC" w14:textId="77777777" w:rsidR="00392475" w:rsidRPr="00E16FAD" w:rsidRDefault="00392475" w:rsidP="00295D0C">
      <w:pPr>
        <w:widowControl w:val="0"/>
        <w:numPr>
          <w:ilvl w:val="0"/>
          <w:numId w:val="34"/>
        </w:numPr>
        <w:tabs>
          <w:tab w:val="clear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Развернутый анализ крови с определением лейкоцитарной формулы и уровня тромбоцитов. Подавление гемопоэза, вызванное метотрексатом, может происходить внезапно, в том числе при применении препарата в малых дозах. В любом случае значительного снижения числа лейкоцитов или тромбоцитов необходимо немедленно прервать лечение метотрексатом и провести адекватную поддерживающую терапию. Пациентам должно быть </w:t>
      </w:r>
      <w:proofErr w:type="gramStart"/>
      <w:r w:rsidRPr="00E16FAD">
        <w:rPr>
          <w:rFonts w:ascii="Times New Roman" w:hAnsi="Times New Roman"/>
          <w:sz w:val="28"/>
          <w:szCs w:val="28"/>
        </w:rPr>
        <w:t>рекомендовано</w:t>
      </w:r>
      <w:proofErr w:type="gramEnd"/>
      <w:r w:rsidRPr="00E16FAD">
        <w:rPr>
          <w:rFonts w:ascii="Times New Roman" w:hAnsi="Times New Roman"/>
          <w:sz w:val="28"/>
          <w:szCs w:val="28"/>
        </w:rPr>
        <w:t xml:space="preserve"> сообщать о любых признаках и симптомах возможных инфекций. Пациенты, одновременно применяющие </w:t>
      </w:r>
      <w:proofErr w:type="spellStart"/>
      <w:r w:rsidRPr="00E16FAD">
        <w:rPr>
          <w:rFonts w:ascii="Times New Roman" w:hAnsi="Times New Roman"/>
          <w:sz w:val="28"/>
          <w:szCs w:val="28"/>
        </w:rPr>
        <w:t>гематотоксичные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препараты (например, </w:t>
      </w:r>
      <w:proofErr w:type="spellStart"/>
      <w:r w:rsidRPr="00E16FAD">
        <w:rPr>
          <w:rFonts w:ascii="Times New Roman" w:hAnsi="Times New Roman"/>
          <w:sz w:val="28"/>
          <w:szCs w:val="28"/>
        </w:rPr>
        <w:t>лефлуномид</w:t>
      </w:r>
      <w:proofErr w:type="spellEnd"/>
      <w:r w:rsidRPr="00E16FAD">
        <w:rPr>
          <w:rFonts w:ascii="Times New Roman" w:hAnsi="Times New Roman"/>
          <w:sz w:val="28"/>
          <w:szCs w:val="28"/>
        </w:rPr>
        <w:t>), должны тщательно наблюдаться с контролем показателей крови и числа тромбоцитов.</w:t>
      </w:r>
    </w:p>
    <w:p w14:paraId="78A6D483" w14:textId="77777777" w:rsidR="0082725A" w:rsidRPr="00E16FAD" w:rsidRDefault="0082725A" w:rsidP="0082725A">
      <w:pPr>
        <w:widowControl w:val="0"/>
        <w:numPr>
          <w:ilvl w:val="0"/>
          <w:numId w:val="34"/>
        </w:numPr>
        <w:tabs>
          <w:tab w:val="clear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Функциональные пробы печени: Лечение не следует начинать или его следует прекратить при наличии стойких или значительных отклонений в функциональных пробах печени, других неинвазивных диагностиках фиброза печени или биопсии печени.</w:t>
      </w:r>
    </w:p>
    <w:p w14:paraId="33338B45" w14:textId="77777777" w:rsidR="0082725A" w:rsidRPr="00E16FAD" w:rsidRDefault="0082725A" w:rsidP="008272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У пациентов с частотой 13–20 % сообщалось о временном повышении активности трансаминаз в два или три раза по сравнению с верхней границей нормы.</w:t>
      </w:r>
    </w:p>
    <w:p w14:paraId="5B729C46" w14:textId="77777777" w:rsidR="0082725A" w:rsidRPr="00E16FAD" w:rsidRDefault="0082725A" w:rsidP="008272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Стойкое повышение активности ферментов печени и/или снижение уровня сывороточного альбумина может свидетельствовать о тяжелой гепатотоксичности.</w:t>
      </w:r>
      <w:r w:rsidRPr="00E16FAD">
        <w:rPr>
          <w:rFonts w:ascii="Times New Roman" w:hAnsi="Times New Roman"/>
          <w:sz w:val="28"/>
          <w:szCs w:val="28"/>
        </w:rPr>
        <w:t xml:space="preserve"> </w:t>
      </w:r>
      <w:r w:rsidRPr="00E16FAD">
        <w:rPr>
          <w:rFonts w:ascii="Times New Roman" w:hAnsi="Times New Roman"/>
          <w:sz w:val="28"/>
          <w:szCs w:val="28"/>
          <w:lang w:val="kk-KZ"/>
        </w:rPr>
        <w:t>В случае стойкого повышения активности ферментов печени следует рассмотреть возможность снижения дозы или прекращения терапии.</w:t>
      </w:r>
    </w:p>
    <w:p w14:paraId="56E20AD6" w14:textId="77777777" w:rsidR="0082725A" w:rsidRPr="00E16FAD" w:rsidRDefault="0082725A" w:rsidP="00827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Гистологическим изменениям, фиброзу и, реже, циррозу печени могут не предшествовать отклонения от нормы функциональных проб печени. При циррозе печени бывают случаи, когда трансаминазы в норме. Поэтому следует рассмотреть неинвазивные методы диагностики состояния печени, в дополнение к функциональным пробам печени. Биопсия печени должна рассматриваться в индивидуальном порядке с учетом сопутствующих заболеваний пациента, истории болезни и рисков, связанных с биопсией.</w:t>
      </w:r>
    </w:p>
    <w:p w14:paraId="38C692AD" w14:textId="77777777" w:rsidR="0082725A" w:rsidRPr="00E16FAD" w:rsidRDefault="0082725A" w:rsidP="00827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Факторы риска </w:t>
      </w:r>
      <w:proofErr w:type="spellStart"/>
      <w:r w:rsidRPr="00E16FAD">
        <w:rPr>
          <w:rFonts w:ascii="Times New Roman" w:hAnsi="Times New Roman"/>
          <w:sz w:val="28"/>
          <w:szCs w:val="28"/>
        </w:rPr>
        <w:t>гепатотоксичности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включают чрезмерное употребление алкоголя в прошлом, стойкое повышение уровня ферментов печени, заболевания печени в анамнезе, семейный анамнез наследственных </w:t>
      </w:r>
      <w:r w:rsidRPr="00E16FAD">
        <w:rPr>
          <w:rFonts w:ascii="Times New Roman" w:hAnsi="Times New Roman"/>
          <w:sz w:val="28"/>
          <w:szCs w:val="28"/>
        </w:rPr>
        <w:lastRenderedPageBreak/>
        <w:t xml:space="preserve">заболеваний печени, сахарный диабет, ожирение и предшествующее использование </w:t>
      </w:r>
      <w:proofErr w:type="spellStart"/>
      <w:r w:rsidRPr="00E16FAD">
        <w:rPr>
          <w:rFonts w:ascii="Times New Roman" w:hAnsi="Times New Roman"/>
          <w:sz w:val="28"/>
          <w:szCs w:val="28"/>
        </w:rPr>
        <w:t>гепатотоксичных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препаратов или химических веществ, а также длительное лечение метотрексатом.</w:t>
      </w:r>
    </w:p>
    <w:p w14:paraId="34F5D602" w14:textId="77777777" w:rsidR="0082725A" w:rsidRPr="00E16FAD" w:rsidRDefault="0082725A" w:rsidP="00827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Во время лечения метотрексатом не следует назначать дополнительные гепатотоксические препараты, за исключением случаев крайней необходимости. Следует избегать потребления алкоголя (см. разделы 4.3 и 4.5). У пациентов, одновременно принимающих другие гепатотоксические препараты, следует более тщательно контролировать ферменты печени.</w:t>
      </w:r>
    </w:p>
    <w:p w14:paraId="561FD86D" w14:textId="77777777" w:rsidR="0082725A" w:rsidRPr="00E16FAD" w:rsidRDefault="0082725A" w:rsidP="008272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Следует соблюдать повышенную осторожность у пациентов с инсулинозависимым сахарным диабетом, так как на фоне лечения метотрексатом в единичных случаях развивался цирроз печени без повышения активности трансаминаз.</w:t>
      </w:r>
    </w:p>
    <w:p w14:paraId="58F2428A" w14:textId="77777777" w:rsidR="00392475" w:rsidRPr="00E16FAD" w:rsidRDefault="00392475" w:rsidP="00295D0C">
      <w:pPr>
        <w:widowControl w:val="0"/>
        <w:numPr>
          <w:ilvl w:val="0"/>
          <w:numId w:val="34"/>
        </w:numPr>
        <w:tabs>
          <w:tab w:val="clear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Контроль функции почек должен осуществляться посредством тестов на почечную недостаточность и общего анализа мочи: так как метотрексат выводится в основном почками, в случае нарушения функции почек следует ожидать повышения уровня метотрексата в плазме, что способно привести к проявлению серьезных нежелательных побочных эффектов. </w:t>
      </w:r>
    </w:p>
    <w:p w14:paraId="60EF7AA1" w14:textId="77777777" w:rsidR="00392475" w:rsidRPr="00E16FAD" w:rsidRDefault="00392475" w:rsidP="00295D0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В случаях возможного снижения функции почек (например, у пожилых пациентов) контрольные обследования следует проводить чаще. Также это относится к случаям одновременного назначения препаратов, влияющих на выведение метотрексата, препаратов, способных привести к поражению почек (например, НПВП), а также препаратов, способных влиять на систему кроветворения.</w:t>
      </w:r>
    </w:p>
    <w:p w14:paraId="5E404BCD" w14:textId="77777777" w:rsidR="00392475" w:rsidRPr="00E16FAD" w:rsidRDefault="00392475" w:rsidP="00295D0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Дегидратация также может усиливать токсичность метотрексата.</w:t>
      </w:r>
    </w:p>
    <w:p w14:paraId="63A8E517" w14:textId="77777777" w:rsidR="00392475" w:rsidRPr="00E16FAD" w:rsidRDefault="00392475" w:rsidP="00295D0C">
      <w:pPr>
        <w:widowControl w:val="0"/>
        <w:numPr>
          <w:ilvl w:val="0"/>
          <w:numId w:val="34"/>
        </w:numPr>
        <w:tabs>
          <w:tab w:val="clear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Обследование дыхательной системы.</w:t>
      </w:r>
    </w:p>
    <w:p w14:paraId="61699997" w14:textId="7D39165D" w:rsidR="00392475" w:rsidRPr="00E16FAD" w:rsidRDefault="00392475" w:rsidP="00295D0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Особое внимание необходимо обращать на симптомы ухудшения функции легких, в случае надобности должны быть проведены соответствующие тесты. Признаки патологии со стороны легких требуют немедленной диагностики и отмены метотрексата. Симптомы поражения органов дыхания (особенно сухой непродуктивный кашель), неспецифический </w:t>
      </w:r>
      <w:proofErr w:type="spellStart"/>
      <w:r w:rsidRPr="00E16FAD">
        <w:rPr>
          <w:rFonts w:ascii="Times New Roman" w:hAnsi="Times New Roman"/>
          <w:sz w:val="28"/>
          <w:szCs w:val="28"/>
        </w:rPr>
        <w:t>пневмонит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, возникающие во время терапии метотрексатом, могут свидетельствовать о потенциально опасном заболевании и требуют прерывания лечения и тщательного обследования. Это связано с вероятностью развития острого или хронического интерстициального </w:t>
      </w:r>
      <w:proofErr w:type="spellStart"/>
      <w:r w:rsidRPr="00E16FAD">
        <w:rPr>
          <w:rFonts w:ascii="Times New Roman" w:hAnsi="Times New Roman"/>
          <w:sz w:val="28"/>
          <w:szCs w:val="28"/>
        </w:rPr>
        <w:t>пневмонита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, часто сопровождающегося </w:t>
      </w:r>
      <w:proofErr w:type="spellStart"/>
      <w:r w:rsidRPr="00E16FAD">
        <w:rPr>
          <w:rFonts w:ascii="Times New Roman" w:hAnsi="Times New Roman"/>
          <w:sz w:val="28"/>
          <w:szCs w:val="28"/>
        </w:rPr>
        <w:t>эозинофилией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, и являющегося угрожающим жизни состоянием. Клинические симптомы вызванного применением метотрексата поражения легких разнообразны, однако типичными признаками являются лихорадка, кашель, затрудненное дыхание, гипоксемия и наличие инфильтрата в легких на рентгенограмме. </w:t>
      </w:r>
      <w:r w:rsidRPr="00E16FAD">
        <w:rPr>
          <w:rFonts w:ascii="Times New Roman" w:hAnsi="Times New Roman"/>
          <w:sz w:val="28"/>
          <w:szCs w:val="28"/>
          <w:lang w:val="kk-KZ"/>
        </w:rPr>
        <w:t xml:space="preserve">Это поражение может возникнуть при любых дозах. </w:t>
      </w:r>
    </w:p>
    <w:p w14:paraId="2B3627D3" w14:textId="77777777" w:rsidR="00392475" w:rsidRPr="00E16FAD" w:rsidRDefault="00392475" w:rsidP="00295D0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 xml:space="preserve">Кроме того, сообщалось о легочном альвеолярном кровотечении при применении метотрексата при ревматологических и связанных показаниях. Это явление также может быть связано с васкулитом и другими сопутствующими заболеваниями. При подозрении на легочное </w:t>
      </w:r>
      <w:r w:rsidRPr="00E16FAD">
        <w:rPr>
          <w:rFonts w:ascii="Times New Roman" w:hAnsi="Times New Roman"/>
          <w:sz w:val="28"/>
          <w:szCs w:val="28"/>
          <w:lang w:eastAsia="sv-SE"/>
        </w:rPr>
        <w:lastRenderedPageBreak/>
        <w:t>альвеолярное кровотечение необходимо проведение срочного обследования для подтверждения диагноза.</w:t>
      </w:r>
    </w:p>
    <w:p w14:paraId="57A287B1" w14:textId="77777777" w:rsidR="00392475" w:rsidRPr="00E16FAD" w:rsidRDefault="00392475" w:rsidP="00295D0C">
      <w:pPr>
        <w:widowControl w:val="0"/>
        <w:numPr>
          <w:ilvl w:val="0"/>
          <w:numId w:val="34"/>
        </w:numPr>
        <w:tabs>
          <w:tab w:val="clear" w:pos="36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Метотрексат влияет на иммунную систему, может ухудшать реакцию на вакцинацию и воздействовать на результаты иммунологических тестов. Особая осторожность требуется в случаях применения препарата у пациентов с хроническими инфекционными заболеваниями вне периодов обострения (</w:t>
      </w:r>
      <w:r w:rsidRPr="00E16FAD">
        <w:rPr>
          <w:rFonts w:ascii="Times New Roman" w:hAnsi="Times New Roman"/>
          <w:sz w:val="28"/>
          <w:szCs w:val="28"/>
          <w:lang w:val="kk-KZ"/>
        </w:rPr>
        <w:t>Опоясывающий лишай</w:t>
      </w:r>
      <w:r w:rsidRPr="00E16FAD">
        <w:rPr>
          <w:rFonts w:ascii="Times New Roman" w:hAnsi="Times New Roman"/>
          <w:sz w:val="28"/>
          <w:szCs w:val="28"/>
        </w:rPr>
        <w:t>, туберкулез, гепатит</w:t>
      </w:r>
      <w:proofErr w:type="gramStart"/>
      <w:r w:rsidRPr="00E16FA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16FAD">
        <w:rPr>
          <w:rFonts w:ascii="Times New Roman" w:hAnsi="Times New Roman"/>
          <w:sz w:val="28"/>
          <w:szCs w:val="28"/>
        </w:rPr>
        <w:t xml:space="preserve"> или С) из-за возможности обострения заболевания. </w:t>
      </w:r>
      <w:bookmarkStart w:id="4" w:name="_Hlk71711281"/>
      <w:r w:rsidRPr="00E16FAD">
        <w:rPr>
          <w:rFonts w:ascii="Times New Roman" w:hAnsi="Times New Roman"/>
          <w:sz w:val="28"/>
          <w:szCs w:val="28"/>
        </w:rPr>
        <w:t>Вакцинация с использованием живых вакцин не должна проводиться в рамках терапии метотрексатом.</w:t>
      </w:r>
      <w:r w:rsidRPr="00E16FAD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4"/>
      <w:r w:rsidRPr="00E16FAD">
        <w:rPr>
          <w:rFonts w:ascii="Times New Roman" w:hAnsi="Times New Roman"/>
          <w:iCs/>
          <w:sz w:val="28"/>
          <w:szCs w:val="28"/>
        </w:rPr>
        <w:t>У пациентов, применяющих низкие дозы метотрексата, могут возникать злокачественные лимфомы; в этих случаях лечение должно быть прекращено. При отсутствии признаков спонтанной регрессии лимфомы необходимо проведение цитотоксической терапии.</w:t>
      </w:r>
    </w:p>
    <w:p w14:paraId="113C7A6E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iCs/>
          <w:sz w:val="28"/>
          <w:szCs w:val="28"/>
        </w:rPr>
        <w:t>В редких случаях при одновременном назначении антагонистов фолиевой кислоты (</w:t>
      </w:r>
      <w:proofErr w:type="spellStart"/>
      <w:r w:rsidRPr="00E16FAD">
        <w:rPr>
          <w:rFonts w:ascii="Times New Roman" w:hAnsi="Times New Roman"/>
          <w:iCs/>
          <w:sz w:val="28"/>
          <w:szCs w:val="28"/>
        </w:rPr>
        <w:t>триметоприма</w:t>
      </w:r>
      <w:proofErr w:type="spellEnd"/>
      <w:r w:rsidRPr="00E16FAD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Pr="00E16FAD">
        <w:rPr>
          <w:rFonts w:ascii="Times New Roman" w:hAnsi="Times New Roman"/>
          <w:iCs/>
          <w:sz w:val="28"/>
          <w:szCs w:val="28"/>
        </w:rPr>
        <w:t>сульфаметоксазола</w:t>
      </w:r>
      <w:proofErr w:type="spellEnd"/>
      <w:r w:rsidRPr="00E16FAD">
        <w:rPr>
          <w:rFonts w:ascii="Times New Roman" w:hAnsi="Times New Roman"/>
          <w:iCs/>
          <w:sz w:val="28"/>
          <w:szCs w:val="28"/>
        </w:rPr>
        <w:t xml:space="preserve">) описывалось развитие острой </w:t>
      </w:r>
      <w:proofErr w:type="spellStart"/>
      <w:r w:rsidRPr="00E16FAD">
        <w:rPr>
          <w:rFonts w:ascii="Times New Roman" w:hAnsi="Times New Roman"/>
          <w:iCs/>
          <w:sz w:val="28"/>
          <w:szCs w:val="28"/>
        </w:rPr>
        <w:t>мегалобластной</w:t>
      </w:r>
      <w:proofErr w:type="spellEnd"/>
      <w:r w:rsidRPr="00E16FAD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E16FAD">
        <w:rPr>
          <w:rFonts w:ascii="Times New Roman" w:hAnsi="Times New Roman"/>
          <w:iCs/>
          <w:sz w:val="28"/>
          <w:szCs w:val="28"/>
        </w:rPr>
        <w:t>панцитопении</w:t>
      </w:r>
      <w:proofErr w:type="spellEnd"/>
      <w:r w:rsidRPr="00E16FAD">
        <w:rPr>
          <w:rFonts w:ascii="Times New Roman" w:hAnsi="Times New Roman"/>
          <w:iCs/>
          <w:sz w:val="28"/>
          <w:szCs w:val="28"/>
        </w:rPr>
        <w:t>.</w:t>
      </w:r>
    </w:p>
    <w:p w14:paraId="58317B5E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iCs/>
          <w:sz w:val="28"/>
          <w:szCs w:val="28"/>
        </w:rPr>
        <w:t xml:space="preserve">Фотодерматиты и солнечные ожоги могут возобновляться на фоне терапии метотрексатом (отставленные реакции). </w:t>
      </w:r>
      <w:proofErr w:type="spellStart"/>
      <w:r w:rsidRPr="00E16FAD">
        <w:rPr>
          <w:rFonts w:ascii="Times New Roman" w:hAnsi="Times New Roman"/>
          <w:iCs/>
          <w:sz w:val="28"/>
          <w:szCs w:val="28"/>
        </w:rPr>
        <w:t>Псориатические</w:t>
      </w:r>
      <w:proofErr w:type="spellEnd"/>
      <w:r w:rsidRPr="00E16FAD">
        <w:rPr>
          <w:rFonts w:ascii="Times New Roman" w:hAnsi="Times New Roman"/>
          <w:iCs/>
          <w:sz w:val="28"/>
          <w:szCs w:val="28"/>
        </w:rPr>
        <w:t xml:space="preserve"> симптомы могут усилиться при одновременном воздействии ультрафиолетовых лучей и терапии метотрексатом.</w:t>
      </w:r>
    </w:p>
    <w:p w14:paraId="7D56A1D5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iCs/>
          <w:sz w:val="28"/>
          <w:szCs w:val="28"/>
        </w:rPr>
        <w:t>У пациентов с дополнительным объемом распределения (патологическое скопление жидкости в организме при асците, плевральном выпоте) метотрексат выводится медленно. У таких пациентов необходим тщательный контроль мониторинга токсичности, требуется снижение дозы, а в некоторых случаях, и отмена терапии препаратом. Асцит или плевральный выпот должны быть дренированы до назначения метотрексата.</w:t>
      </w:r>
    </w:p>
    <w:p w14:paraId="7F8B5CAA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iCs/>
          <w:sz w:val="28"/>
          <w:szCs w:val="28"/>
        </w:rPr>
        <w:t>Диарея или язвенный стоматит могут быть следствием токсического воздействия метотрексата и требовать перерыва в терапии, иначе вероятно развитие геморрагического энтерита и летальный исход вследствие кишечной перфорации.</w:t>
      </w:r>
    </w:p>
    <w:p w14:paraId="206EE25E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iCs/>
          <w:sz w:val="28"/>
          <w:szCs w:val="28"/>
        </w:rPr>
        <w:t>Витаминные препараты или другие продукты, содержащие фолиевую кислоту, фолиевую кислоту или их производные, могут снижать эффективность метотрексата.</w:t>
      </w:r>
    </w:p>
    <w:p w14:paraId="58EEE652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iCs/>
          <w:sz w:val="28"/>
          <w:szCs w:val="28"/>
        </w:rPr>
        <w:t>При псориазе показания к лечению метотрексатом ограничиваются тяжелым, упорным</w:t>
      </w:r>
      <w:r w:rsidRPr="00E16FAD">
        <w:rPr>
          <w:rFonts w:ascii="Times New Roman" w:hAnsi="Times New Roman"/>
          <w:iCs/>
          <w:sz w:val="28"/>
          <w:szCs w:val="28"/>
          <w:lang w:val="kk-KZ"/>
        </w:rPr>
        <w:t>, инвалидизирующим псориазом</w:t>
      </w:r>
      <w:r w:rsidRPr="00E16FAD">
        <w:rPr>
          <w:rFonts w:ascii="Times New Roman" w:hAnsi="Times New Roman"/>
          <w:iCs/>
          <w:sz w:val="28"/>
          <w:szCs w:val="28"/>
        </w:rPr>
        <w:t>, устойчивым к другим формам терапии, при подтвержденном биопсией диагнозе и после консультации врача-дерматолога.</w:t>
      </w:r>
    </w:p>
    <w:p w14:paraId="132FF236" w14:textId="77777777" w:rsidR="00E068A3" w:rsidRPr="00E16FAD" w:rsidRDefault="00E068A3" w:rsidP="00E06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FAD">
        <w:rPr>
          <w:rFonts w:ascii="Times New Roman" w:eastAsia="Times New Roman" w:hAnsi="Times New Roman"/>
          <w:sz w:val="28"/>
          <w:szCs w:val="28"/>
        </w:rPr>
        <w:t xml:space="preserve">Прогрессирующая мультифокальная </w:t>
      </w:r>
      <w:proofErr w:type="spellStart"/>
      <w:r w:rsidRPr="00E16FAD">
        <w:rPr>
          <w:rFonts w:ascii="Times New Roman" w:eastAsia="Times New Roman" w:hAnsi="Times New Roman"/>
          <w:sz w:val="28"/>
          <w:szCs w:val="28"/>
        </w:rPr>
        <w:t>лейкоэнцефалопатия</w:t>
      </w:r>
      <w:proofErr w:type="spellEnd"/>
      <w:r w:rsidRPr="00E16FAD">
        <w:rPr>
          <w:rFonts w:ascii="Times New Roman" w:eastAsia="Times New Roman" w:hAnsi="Times New Roman"/>
          <w:sz w:val="28"/>
          <w:szCs w:val="28"/>
        </w:rPr>
        <w:t xml:space="preserve"> (ПМЛ)</w:t>
      </w:r>
    </w:p>
    <w:p w14:paraId="316BCE32" w14:textId="77777777" w:rsidR="00E068A3" w:rsidRPr="00E16FAD" w:rsidRDefault="00E068A3" w:rsidP="00E06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16FAD">
        <w:rPr>
          <w:rFonts w:ascii="Times New Roman" w:eastAsia="Times New Roman" w:hAnsi="Times New Roman"/>
          <w:sz w:val="28"/>
          <w:szCs w:val="28"/>
        </w:rPr>
        <w:t xml:space="preserve">Сообщалось о случаях развития </w:t>
      </w:r>
      <w:proofErr w:type="gramStart"/>
      <w:r w:rsidRPr="00E16FAD">
        <w:rPr>
          <w:rFonts w:ascii="Times New Roman" w:eastAsia="Times New Roman" w:hAnsi="Times New Roman"/>
          <w:sz w:val="28"/>
          <w:szCs w:val="28"/>
        </w:rPr>
        <w:t>прогрессирующей</w:t>
      </w:r>
      <w:proofErr w:type="gramEnd"/>
      <w:r w:rsidRPr="00E16FAD">
        <w:rPr>
          <w:rFonts w:ascii="Times New Roman" w:eastAsia="Times New Roman" w:hAnsi="Times New Roman"/>
          <w:sz w:val="28"/>
          <w:szCs w:val="28"/>
        </w:rPr>
        <w:t xml:space="preserve"> мультифокальной </w:t>
      </w:r>
      <w:proofErr w:type="spellStart"/>
      <w:r w:rsidRPr="00E16FAD">
        <w:rPr>
          <w:rFonts w:ascii="Times New Roman" w:eastAsia="Times New Roman" w:hAnsi="Times New Roman"/>
          <w:sz w:val="28"/>
          <w:szCs w:val="28"/>
        </w:rPr>
        <w:t>лейкоэнцефалопатии</w:t>
      </w:r>
      <w:proofErr w:type="spellEnd"/>
      <w:r w:rsidRPr="00E16FAD">
        <w:rPr>
          <w:rFonts w:ascii="Times New Roman" w:eastAsia="Times New Roman" w:hAnsi="Times New Roman"/>
          <w:sz w:val="28"/>
          <w:szCs w:val="28"/>
        </w:rPr>
        <w:t xml:space="preserve"> (ПМЛ) при применении метотрексата, в большинстве случаев при совместном применении с другими </w:t>
      </w:r>
      <w:proofErr w:type="spellStart"/>
      <w:r w:rsidRPr="00E16FAD">
        <w:rPr>
          <w:rFonts w:ascii="Times New Roman" w:eastAsia="Times New Roman" w:hAnsi="Times New Roman"/>
          <w:sz w:val="28"/>
          <w:szCs w:val="28"/>
        </w:rPr>
        <w:t>иммуносупрессивными</w:t>
      </w:r>
      <w:proofErr w:type="spellEnd"/>
      <w:r w:rsidRPr="00E16FAD">
        <w:rPr>
          <w:rFonts w:ascii="Times New Roman" w:eastAsia="Times New Roman" w:hAnsi="Times New Roman"/>
          <w:sz w:val="28"/>
          <w:szCs w:val="28"/>
        </w:rPr>
        <w:t xml:space="preserve"> лекарственными препаратами. ПМЛ может привести к летальному исходу. Врачам следует регулярно оценивать пациентов на наличие симптомов ПМЛ и проводить дифференциальную диагностику у пациентов с </w:t>
      </w:r>
      <w:r w:rsidRPr="00E16FAD">
        <w:rPr>
          <w:rFonts w:ascii="Times New Roman" w:eastAsia="Times New Roman" w:hAnsi="Times New Roman"/>
          <w:sz w:val="28"/>
          <w:szCs w:val="28"/>
        </w:rPr>
        <w:lastRenderedPageBreak/>
        <w:t>ослабленным иммунитетом при появлении новых или ухудшение имеющихся неврологических симптомов.</w:t>
      </w:r>
    </w:p>
    <w:p w14:paraId="7DB9498F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iCs/>
          <w:sz w:val="28"/>
          <w:szCs w:val="28"/>
        </w:rPr>
        <w:t xml:space="preserve">Одна доза данной лекарственной формы метотрексата содержит менее 1 ммоль натрия (23 мг), что позволяет считать </w:t>
      </w:r>
      <w:proofErr w:type="gramStart"/>
      <w:r w:rsidRPr="00E16FAD">
        <w:rPr>
          <w:rFonts w:ascii="Times New Roman" w:hAnsi="Times New Roman"/>
          <w:iCs/>
          <w:sz w:val="28"/>
          <w:szCs w:val="28"/>
        </w:rPr>
        <w:t>ее</w:t>
      </w:r>
      <w:proofErr w:type="gramEnd"/>
      <w:r w:rsidRPr="00E16FAD">
        <w:rPr>
          <w:rFonts w:ascii="Times New Roman" w:hAnsi="Times New Roman"/>
          <w:iCs/>
          <w:sz w:val="28"/>
          <w:szCs w:val="28"/>
        </w:rPr>
        <w:t xml:space="preserve"> не содержащей натрий.</w:t>
      </w:r>
    </w:p>
    <w:p w14:paraId="4847F506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E16FAD">
        <w:rPr>
          <w:rFonts w:ascii="Times New Roman" w:hAnsi="Times New Roman"/>
          <w:i/>
          <w:sz w:val="28"/>
          <w:szCs w:val="28"/>
        </w:rPr>
        <w:t xml:space="preserve">Применение </w:t>
      </w:r>
      <w:r w:rsidRPr="00E16FAD">
        <w:rPr>
          <w:rFonts w:ascii="Times New Roman" w:hAnsi="Times New Roman"/>
          <w:i/>
          <w:sz w:val="28"/>
          <w:szCs w:val="28"/>
          <w:lang w:val="kk-KZ"/>
        </w:rPr>
        <w:t>у детей</w:t>
      </w:r>
    </w:p>
    <w:p w14:paraId="0B8FCD9C" w14:textId="77777777" w:rsidR="00392475" w:rsidRPr="00E16FAD" w:rsidRDefault="00392475" w:rsidP="00295D0C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iCs/>
          <w:sz w:val="28"/>
          <w:szCs w:val="28"/>
        </w:rPr>
        <w:t>Использование препарата у детей младше 3 лет не рекомендуется из-за ограниченности данных о безопасности и эффективности препарата в данной возрастной группе.</w:t>
      </w:r>
    </w:p>
    <w:p w14:paraId="27B3F997" w14:textId="77777777" w:rsidR="00D43297" w:rsidRPr="00E16FAD" w:rsidRDefault="00D43297" w:rsidP="00295D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6FAD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14:paraId="3E7AE115" w14:textId="59A4E686" w:rsidR="00AF1BB8" w:rsidRPr="00E16FAD" w:rsidRDefault="002F27A0" w:rsidP="00295D0C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  <w:lang w:eastAsia="sv-SE"/>
        </w:rPr>
      </w:pPr>
      <w:bookmarkStart w:id="5" w:name="_Hlk55491454"/>
      <w:r w:rsidRPr="00E16FAD">
        <w:rPr>
          <w:rFonts w:ascii="Times New Roman" w:hAnsi="Times New Roman"/>
          <w:i/>
          <w:sz w:val="28"/>
          <w:szCs w:val="28"/>
          <w:u w:val="single"/>
          <w:lang w:eastAsia="sv-SE"/>
        </w:rPr>
        <w:t>Женщины детородного возраста/</w:t>
      </w:r>
      <w:r w:rsidR="00AF1BB8" w:rsidRPr="00E16FAD">
        <w:rPr>
          <w:rFonts w:ascii="Times New Roman" w:hAnsi="Times New Roman"/>
          <w:i/>
          <w:sz w:val="28"/>
          <w:szCs w:val="28"/>
          <w:u w:val="single"/>
          <w:lang w:eastAsia="sv-SE"/>
        </w:rPr>
        <w:t>Контрацепция у женщин</w:t>
      </w:r>
    </w:p>
    <w:p w14:paraId="0B19CA8F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v-SE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>Женщинам следует избегать беременности во время терапии метотрексатом, должны использоваться эффективные методы контрацепции во время лечения метотрексатом и в течение, по меньшей мере, 6 месяцев после его завершения. Перед началом терапии женщины детородного возраста должны быть проинформированы о риске пороков развития плода, связанных с метотрексатом, и наличие беременности должно быть исключено с помощью соответствующих мер, например, теста на беременность. Во время лечения тесты на беременность следует повторять по мере необходимости (например, после любого перерыва в использовании контрацепции). Женщинам репродуктивного возраста следует проконсультироваться по вопросам предупреждения и планирования беременности.</w:t>
      </w:r>
    </w:p>
    <w:p w14:paraId="777C80F3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sv-SE"/>
        </w:rPr>
      </w:pPr>
      <w:r w:rsidRPr="00E16FAD">
        <w:rPr>
          <w:rFonts w:ascii="Times New Roman" w:hAnsi="Times New Roman"/>
          <w:i/>
          <w:sz w:val="28"/>
          <w:szCs w:val="28"/>
          <w:lang w:eastAsia="sv-SE"/>
        </w:rPr>
        <w:t>Контрацепция у мужчин</w:t>
      </w:r>
    </w:p>
    <w:p w14:paraId="7E6BE289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v-SE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 xml:space="preserve">Неизвестно, присутствует ли метотрексат в сперме. Было показано, что </w:t>
      </w:r>
      <w:proofErr w:type="spellStart"/>
      <w:r w:rsidRPr="00E16FAD">
        <w:rPr>
          <w:rFonts w:ascii="Times New Roman" w:hAnsi="Times New Roman"/>
          <w:sz w:val="28"/>
          <w:szCs w:val="28"/>
          <w:lang w:eastAsia="sv-SE"/>
        </w:rPr>
        <w:t>метотрексат</w:t>
      </w:r>
      <w:proofErr w:type="spellEnd"/>
      <w:r w:rsidRPr="00E16FAD">
        <w:rPr>
          <w:rFonts w:ascii="Times New Roman" w:hAnsi="Times New Roman"/>
          <w:sz w:val="28"/>
          <w:szCs w:val="28"/>
          <w:lang w:eastAsia="sv-SE"/>
        </w:rPr>
        <w:t xml:space="preserve"> является </w:t>
      </w:r>
      <w:proofErr w:type="spellStart"/>
      <w:r w:rsidRPr="00E16FAD">
        <w:rPr>
          <w:rFonts w:ascii="Times New Roman" w:hAnsi="Times New Roman"/>
          <w:sz w:val="28"/>
          <w:szCs w:val="28"/>
          <w:lang w:eastAsia="sv-SE"/>
        </w:rPr>
        <w:t>генотоксичным</w:t>
      </w:r>
      <w:proofErr w:type="spellEnd"/>
      <w:r w:rsidRPr="00E16FAD">
        <w:rPr>
          <w:rFonts w:ascii="Times New Roman" w:hAnsi="Times New Roman"/>
          <w:sz w:val="28"/>
          <w:szCs w:val="28"/>
          <w:lang w:eastAsia="sv-SE"/>
        </w:rPr>
        <w:t xml:space="preserve"> в исследованиях на животных, поэтому риск </w:t>
      </w:r>
      <w:proofErr w:type="spellStart"/>
      <w:r w:rsidRPr="00E16FAD">
        <w:rPr>
          <w:rFonts w:ascii="Times New Roman" w:hAnsi="Times New Roman"/>
          <w:sz w:val="28"/>
          <w:szCs w:val="28"/>
          <w:lang w:eastAsia="sv-SE"/>
        </w:rPr>
        <w:t>генотоксического</w:t>
      </w:r>
      <w:proofErr w:type="spellEnd"/>
      <w:r w:rsidRPr="00E16FAD">
        <w:rPr>
          <w:rFonts w:ascii="Times New Roman" w:hAnsi="Times New Roman"/>
          <w:sz w:val="28"/>
          <w:szCs w:val="28"/>
          <w:lang w:eastAsia="sv-SE"/>
        </w:rPr>
        <w:t xml:space="preserve"> воздействия на сперматозоиды не может быть полностью исключен. Ограниченные клинические данные не указывают на повышенный риск пороков развития плода или выкидыша у женщин при воздействии низких доз метотрексата (менее 30 мг/неделю). В отношении более высоких доз недостаточно данных для оценки рисков пороков развития плода или выкидыша у женщин после воздействия на организм отца.</w:t>
      </w:r>
    </w:p>
    <w:p w14:paraId="0BDE9024" w14:textId="77777777" w:rsidR="00AF1BB8" w:rsidRPr="00E16FAD" w:rsidRDefault="00AF1BB8" w:rsidP="00295D0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>В качестве профилактических мер сексуально активным пациентам мужского пола или их партнерам-женщинам рекомендуется использовать надежные методы контрацепции во время лечения партнера мужского пола и в течение как минимум 6 месяцев после прекращения применения метотрексата. Мужчины не должны быть донорами спермы во время терапии или в течение 6 месяцев после прекращения применения метотрексата.</w:t>
      </w:r>
    </w:p>
    <w:p w14:paraId="744C7DFB" w14:textId="77777777" w:rsidR="00AF1BB8" w:rsidRPr="00E16FAD" w:rsidRDefault="00AF1BB8" w:rsidP="00295D0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E16FAD">
        <w:rPr>
          <w:rFonts w:ascii="Times New Roman" w:hAnsi="Times New Roman"/>
          <w:i/>
          <w:sz w:val="28"/>
          <w:szCs w:val="28"/>
          <w:lang w:bidi="ru-RU"/>
        </w:rPr>
        <w:t>Беременность</w:t>
      </w:r>
    </w:p>
    <w:p w14:paraId="3589FC46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v-SE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>Метотрексат противопоказан во время беременности при неонкологических показаниях (</w:t>
      </w:r>
      <w:r w:rsidRPr="00E16FAD">
        <w:rPr>
          <w:rFonts w:ascii="Times New Roman" w:hAnsi="Times New Roman"/>
          <w:sz w:val="28"/>
          <w:szCs w:val="28"/>
        </w:rPr>
        <w:t>см. раздел «Противопоказания»</w:t>
      </w:r>
      <w:r w:rsidRPr="00E16FAD">
        <w:rPr>
          <w:rFonts w:ascii="Times New Roman" w:hAnsi="Times New Roman"/>
          <w:sz w:val="28"/>
          <w:szCs w:val="28"/>
          <w:lang w:eastAsia="sv-SE"/>
        </w:rPr>
        <w:t xml:space="preserve">). Если беременность наступает во время лечения метотрексатом и в период до шести месяцев после завершения лечения, пациентке необходима медицинская консультация относительно риска вредного воздействия на </w:t>
      </w:r>
      <w:r w:rsidRPr="00E16FAD">
        <w:rPr>
          <w:rFonts w:ascii="Times New Roman" w:hAnsi="Times New Roman"/>
          <w:sz w:val="28"/>
          <w:szCs w:val="28"/>
          <w:lang w:eastAsia="sv-SE"/>
        </w:rPr>
        <w:lastRenderedPageBreak/>
        <w:t>ребенка, связанного с лечением, следует провести ультразвуковое исследование для подтверждения нормального развития плода.</w:t>
      </w:r>
    </w:p>
    <w:p w14:paraId="099FC719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v-SE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>В исследованиях на животных метотрексат показал репродуктивную токсичность, особенно в течение первого триместра.</w:t>
      </w:r>
    </w:p>
    <w:p w14:paraId="51A5D05D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v-SE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 xml:space="preserve">Было показано, что метотрексат является тератогенным для человека; сообщалось, что он вызывает гибель плода, выкидыши и/или врожденные пороки развития (например, черепно-лицевые, </w:t>
      </w:r>
      <w:proofErr w:type="gramStart"/>
      <w:r w:rsidRPr="00E16FAD">
        <w:rPr>
          <w:rFonts w:ascii="Times New Roman" w:hAnsi="Times New Roman"/>
          <w:sz w:val="28"/>
          <w:szCs w:val="28"/>
          <w:lang w:eastAsia="sv-SE"/>
        </w:rPr>
        <w:t>сердечно-сосудистые</w:t>
      </w:r>
      <w:proofErr w:type="gramEnd"/>
      <w:r w:rsidRPr="00E16FAD">
        <w:rPr>
          <w:rFonts w:ascii="Times New Roman" w:hAnsi="Times New Roman"/>
          <w:sz w:val="28"/>
          <w:szCs w:val="28"/>
          <w:lang w:eastAsia="sv-SE"/>
        </w:rPr>
        <w:t xml:space="preserve">, нарушения развития центральной нервной системы и пороки развития конечностей). </w:t>
      </w:r>
    </w:p>
    <w:p w14:paraId="61376829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v-SE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 xml:space="preserve">Метотрексат является мощным человеческим </w:t>
      </w:r>
      <w:proofErr w:type="spellStart"/>
      <w:r w:rsidRPr="00E16FAD">
        <w:rPr>
          <w:rFonts w:ascii="Times New Roman" w:hAnsi="Times New Roman"/>
          <w:sz w:val="28"/>
          <w:szCs w:val="28"/>
          <w:lang w:eastAsia="sv-SE"/>
        </w:rPr>
        <w:t>тератогеном</w:t>
      </w:r>
      <w:proofErr w:type="spellEnd"/>
      <w:r w:rsidRPr="00E16FAD">
        <w:rPr>
          <w:rFonts w:ascii="Times New Roman" w:hAnsi="Times New Roman"/>
          <w:sz w:val="28"/>
          <w:szCs w:val="28"/>
          <w:lang w:eastAsia="sv-SE"/>
        </w:rPr>
        <w:t>, вызывающим повышенный риск спонтанных абортов, внутриутробного ограничения роста и врожденных пороков развития в случае воздействия во время беременности.</w:t>
      </w:r>
    </w:p>
    <w:p w14:paraId="25A3C7B6" w14:textId="1E35AB29" w:rsidR="00AF1BB8" w:rsidRPr="00E16FAD" w:rsidRDefault="00AF1BB8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v-SE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>• Сообщал</w:t>
      </w:r>
      <w:r w:rsidR="002F27A0" w:rsidRPr="00E16FAD">
        <w:rPr>
          <w:rFonts w:ascii="Times New Roman" w:hAnsi="Times New Roman"/>
          <w:sz w:val="28"/>
          <w:szCs w:val="28"/>
          <w:lang w:eastAsia="sv-SE"/>
        </w:rPr>
        <w:t>ось о спонтанных абортах у 42.5</w:t>
      </w:r>
      <w:r w:rsidRPr="00E16FAD">
        <w:rPr>
          <w:rFonts w:ascii="Times New Roman" w:hAnsi="Times New Roman"/>
          <w:sz w:val="28"/>
          <w:szCs w:val="28"/>
          <w:lang w:eastAsia="sv-SE"/>
        </w:rPr>
        <w:t xml:space="preserve">% беременных женщин, подвергшихся воздействию низких доз метотрексата (менее 30 </w:t>
      </w:r>
      <w:r w:rsidR="002F27A0" w:rsidRPr="00E16FAD">
        <w:rPr>
          <w:rFonts w:ascii="Times New Roman" w:hAnsi="Times New Roman"/>
          <w:sz w:val="28"/>
          <w:szCs w:val="28"/>
          <w:lang w:eastAsia="sv-SE"/>
        </w:rPr>
        <w:t>мг/неделю), по сравнению с 22.5</w:t>
      </w:r>
      <w:r w:rsidRPr="00E16FAD">
        <w:rPr>
          <w:rFonts w:ascii="Times New Roman" w:hAnsi="Times New Roman"/>
          <w:sz w:val="28"/>
          <w:szCs w:val="28"/>
          <w:lang w:eastAsia="sv-SE"/>
        </w:rPr>
        <w:t>% у пациентов, которым назначали лекарственные препараты, отличные от метотрексата.</w:t>
      </w:r>
    </w:p>
    <w:p w14:paraId="17314A4A" w14:textId="46B7B2C3" w:rsidR="00AF1BB8" w:rsidRPr="00E16FAD" w:rsidRDefault="00AF1BB8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v-SE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 xml:space="preserve">• Серьезные </w:t>
      </w:r>
      <w:r w:rsidR="002F27A0" w:rsidRPr="00E16FAD">
        <w:rPr>
          <w:rFonts w:ascii="Times New Roman" w:hAnsi="Times New Roman"/>
          <w:sz w:val="28"/>
          <w:szCs w:val="28"/>
          <w:lang w:eastAsia="sv-SE"/>
        </w:rPr>
        <w:t>пороки развития возникали у 6.6</w:t>
      </w:r>
      <w:r w:rsidRPr="00E16FAD">
        <w:rPr>
          <w:rFonts w:ascii="Times New Roman" w:hAnsi="Times New Roman"/>
          <w:sz w:val="28"/>
          <w:szCs w:val="28"/>
          <w:lang w:eastAsia="sv-SE"/>
        </w:rPr>
        <w:t>% живых новорожденных у женщин, подвергавшихся воздействию низких доз метотрексата (менее 30 мг/неделю) во время беременн</w:t>
      </w:r>
      <w:r w:rsidR="002F27A0" w:rsidRPr="00E16FAD">
        <w:rPr>
          <w:rFonts w:ascii="Times New Roman" w:hAnsi="Times New Roman"/>
          <w:sz w:val="28"/>
          <w:szCs w:val="28"/>
          <w:lang w:eastAsia="sv-SE"/>
        </w:rPr>
        <w:t>ости, по сравнению с примерно 4</w:t>
      </w:r>
      <w:r w:rsidRPr="00E16FAD">
        <w:rPr>
          <w:rFonts w:ascii="Times New Roman" w:hAnsi="Times New Roman"/>
          <w:sz w:val="28"/>
          <w:szCs w:val="28"/>
          <w:lang w:eastAsia="sv-SE"/>
        </w:rPr>
        <w:t>% живых новорожденных у пациенток, которые получали лекарственные препараты, отличные от метотрексата.</w:t>
      </w:r>
    </w:p>
    <w:p w14:paraId="58FBC310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v-SE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>Получено недостаточно данных относительно воздействия метотрексата в дозах выше 30 мг/неделю во время беременности, но ожидается более высокая частота возникновения спонтанных абортов и врожденных пороков развития.</w:t>
      </w:r>
    </w:p>
    <w:p w14:paraId="4D770FE8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sv-SE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>При прекращении терапии до зачатия, сообщалось о нормальном течении беременности.</w:t>
      </w:r>
    </w:p>
    <w:p w14:paraId="6BAA21FA" w14:textId="77777777" w:rsidR="00AF1BB8" w:rsidRPr="00E16FAD" w:rsidRDefault="005E108E" w:rsidP="00295D0C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 w:bidi="ru-RU"/>
        </w:rPr>
      </w:pPr>
      <w:r w:rsidRPr="00E16FAD">
        <w:rPr>
          <w:rFonts w:ascii="Times New Roman" w:hAnsi="Times New Roman"/>
          <w:i/>
          <w:sz w:val="28"/>
          <w:szCs w:val="28"/>
          <w:lang w:val="kk-KZ" w:bidi="ru-RU"/>
        </w:rPr>
        <w:t>Кормление грудью</w:t>
      </w:r>
    </w:p>
    <w:p w14:paraId="78E666D5" w14:textId="79EE54AA" w:rsidR="00AF1BB8" w:rsidRPr="00E16FAD" w:rsidRDefault="00AF1BB8" w:rsidP="00295D0C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  <w:lang w:bidi="ru-RU"/>
        </w:rPr>
        <w:t xml:space="preserve">Метотрексат проникает в грудное молоко человека. Поскольку метотрексат может вызывать серьезные нежелательные реакции у детей, находящихся на грудном вскармливании, </w:t>
      </w:r>
      <w:r w:rsidR="00B335F5" w:rsidRPr="00E16FAD">
        <w:rPr>
          <w:rFonts w:ascii="Times New Roman" w:hAnsi="Times New Roman"/>
          <w:sz w:val="28"/>
          <w:szCs w:val="28"/>
          <w:lang w:val="kk-KZ"/>
        </w:rPr>
        <w:t>Метофил</w:t>
      </w:r>
      <w:r w:rsidRPr="00E16FAD">
        <w:rPr>
          <w:rFonts w:ascii="Times New Roman" w:hAnsi="Times New Roman"/>
          <w:sz w:val="28"/>
          <w:szCs w:val="28"/>
          <w:lang w:bidi="ru-RU"/>
        </w:rPr>
        <w:t xml:space="preserve"> противопоказан в период грудного вскармливания (см. раздел Противопоказания). Поэтому перед началом и во время применения препарата следует прекратить грудное вскармливание.</w:t>
      </w:r>
    </w:p>
    <w:p w14:paraId="3A03F2B0" w14:textId="77777777" w:rsidR="00AF1BB8" w:rsidRPr="00E16FAD" w:rsidRDefault="00AF1BB8" w:rsidP="00295D0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E16FAD">
        <w:rPr>
          <w:rFonts w:ascii="Times New Roman" w:hAnsi="Times New Roman"/>
          <w:i/>
          <w:sz w:val="28"/>
          <w:szCs w:val="28"/>
        </w:rPr>
        <w:t>Фертильность</w:t>
      </w:r>
    </w:p>
    <w:p w14:paraId="448226C6" w14:textId="77777777" w:rsidR="00AF1BB8" w:rsidRPr="00E16FAD" w:rsidRDefault="00AF1BB8" w:rsidP="00295D0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sv-SE"/>
        </w:rPr>
      </w:pPr>
      <w:r w:rsidRPr="00E16FAD">
        <w:rPr>
          <w:rFonts w:ascii="Times New Roman" w:hAnsi="Times New Roman"/>
          <w:sz w:val="28"/>
          <w:szCs w:val="28"/>
          <w:lang w:eastAsia="sv-SE"/>
        </w:rPr>
        <w:t xml:space="preserve">Метотрексат влияет на сперматогенез и оогенез и может снижать фертильность. Сообщалось, что у человека </w:t>
      </w:r>
      <w:proofErr w:type="spellStart"/>
      <w:r w:rsidRPr="00E16FAD">
        <w:rPr>
          <w:rFonts w:ascii="Times New Roman" w:hAnsi="Times New Roman"/>
          <w:sz w:val="28"/>
          <w:szCs w:val="28"/>
          <w:lang w:eastAsia="sv-SE"/>
        </w:rPr>
        <w:t>метотрексат</w:t>
      </w:r>
      <w:proofErr w:type="spellEnd"/>
      <w:r w:rsidRPr="00E16FAD">
        <w:rPr>
          <w:rFonts w:ascii="Times New Roman" w:hAnsi="Times New Roman"/>
          <w:sz w:val="28"/>
          <w:szCs w:val="28"/>
          <w:lang w:eastAsia="sv-SE"/>
        </w:rPr>
        <w:t xml:space="preserve"> вызывает </w:t>
      </w:r>
      <w:proofErr w:type="spellStart"/>
      <w:r w:rsidRPr="00E16FAD">
        <w:rPr>
          <w:rFonts w:ascii="Times New Roman" w:hAnsi="Times New Roman"/>
          <w:sz w:val="28"/>
          <w:szCs w:val="28"/>
          <w:lang w:eastAsia="sv-SE"/>
        </w:rPr>
        <w:t>олигоспермию</w:t>
      </w:r>
      <w:proofErr w:type="spellEnd"/>
      <w:r w:rsidRPr="00E16FAD">
        <w:rPr>
          <w:rFonts w:ascii="Times New Roman" w:hAnsi="Times New Roman"/>
          <w:sz w:val="28"/>
          <w:szCs w:val="28"/>
          <w:lang w:eastAsia="sv-SE"/>
        </w:rPr>
        <w:t>, менструальную дисфункцию и аменорею. Эти эффекты, в большинстве случаев, являются обратимыми после прекращения терапии.</w:t>
      </w:r>
    </w:p>
    <w:p w14:paraId="501655CB" w14:textId="77777777" w:rsidR="008C7244" w:rsidRPr="00E16FAD" w:rsidRDefault="008C7244" w:rsidP="00295D0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E16FAD">
        <w:rPr>
          <w:rFonts w:ascii="Times New Roman" w:hAnsi="Times New Roman"/>
          <w:iCs/>
          <w:sz w:val="28"/>
          <w:szCs w:val="28"/>
        </w:rPr>
        <w:t>Метотрексат</w:t>
      </w:r>
      <w:proofErr w:type="spellEnd"/>
      <w:r w:rsidRPr="00E16FAD">
        <w:rPr>
          <w:rFonts w:ascii="Times New Roman" w:hAnsi="Times New Roman"/>
          <w:iCs/>
          <w:sz w:val="28"/>
          <w:szCs w:val="28"/>
        </w:rPr>
        <w:t xml:space="preserve"> вызывает </w:t>
      </w:r>
      <w:proofErr w:type="spellStart"/>
      <w:r w:rsidRPr="00E16FAD">
        <w:rPr>
          <w:rFonts w:ascii="Times New Roman" w:hAnsi="Times New Roman"/>
          <w:iCs/>
          <w:sz w:val="28"/>
          <w:szCs w:val="28"/>
        </w:rPr>
        <w:t>эмбриотоксичность</w:t>
      </w:r>
      <w:proofErr w:type="spellEnd"/>
      <w:r w:rsidRPr="00E16FAD">
        <w:rPr>
          <w:rFonts w:ascii="Times New Roman" w:hAnsi="Times New Roman"/>
          <w:iCs/>
          <w:sz w:val="28"/>
          <w:szCs w:val="28"/>
        </w:rPr>
        <w:t xml:space="preserve">, аборты и пороки развития плода у человека. Следовательно, возможные риски в отношении репродуктивной функции, прерывания беременности и врожденных пороков развития следует обсудить с женщинами детородного возраста. Перед применением метотрексата необходимо подтвердить отсутствие </w:t>
      </w:r>
      <w:r w:rsidRPr="00E16FAD">
        <w:rPr>
          <w:rFonts w:ascii="Times New Roman" w:hAnsi="Times New Roman"/>
          <w:iCs/>
          <w:sz w:val="28"/>
          <w:szCs w:val="28"/>
        </w:rPr>
        <w:lastRenderedPageBreak/>
        <w:t>беременности.</w:t>
      </w:r>
    </w:p>
    <w:p w14:paraId="03E61AC0" w14:textId="77777777" w:rsidR="008C7244" w:rsidRPr="00E16FAD" w:rsidRDefault="008C7244" w:rsidP="00295D0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16FAD">
        <w:rPr>
          <w:rFonts w:ascii="Times New Roman" w:hAnsi="Times New Roman"/>
          <w:iCs/>
          <w:sz w:val="28"/>
          <w:szCs w:val="28"/>
        </w:rPr>
        <w:t>Во время лечения, а также в течение, по меньшей мере, шести месяцев после прекращения терапии женщинам детородного возраста необходимо использовать эффективные методы контрацепции.</w:t>
      </w:r>
    </w:p>
    <w:bookmarkEnd w:id="5"/>
    <w:p w14:paraId="2D9CEE99" w14:textId="77777777" w:rsidR="00FA4F7C" w:rsidRPr="00E16FAD" w:rsidRDefault="00FA4F7C" w:rsidP="00295D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6FAD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787A3BEB" w14:textId="77777777" w:rsidR="007D0E84" w:rsidRPr="00E16FAD" w:rsidRDefault="00AF1BB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6" w:name="_Hlk55491496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Поскольку в ходе терапии метотрексатом вероятно развитие симптомов со стороны центральной нервной системы (ощущение усталости, головокружение), метотрексат считается лекарственным средством, оказывающим </w:t>
      </w:r>
      <w:proofErr w:type="gramStart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proofErr w:type="gramEnd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небольшого до умеренного действия на способность к управлению автомобилем и потенциально опасными механизмами.</w:t>
      </w:r>
    </w:p>
    <w:bookmarkEnd w:id="6"/>
    <w:p w14:paraId="0459AC7F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F3B3D01" w14:textId="77777777" w:rsidR="00DB406A" w:rsidRPr="00E16FAD" w:rsidRDefault="00DB406A" w:rsidP="00295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1EA04A66" w14:textId="77777777" w:rsidR="005C4B12" w:rsidRPr="00E16FAD" w:rsidRDefault="00DB406A" w:rsidP="00295D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7" w:name="2175220274"/>
      <w:r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690BEC3C" w14:textId="77777777" w:rsidR="00853988" w:rsidRPr="00E16FAD" w:rsidRDefault="0085398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8" w:name="_Hlk55546358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Метотрексат должен назначаться только врачами, имеющими опыт применения метотрексата и полное понимание рисков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лечения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метотрексатом.</w:t>
      </w:r>
    </w:p>
    <w:p w14:paraId="0972AB9E" w14:textId="77777777" w:rsidR="00853988" w:rsidRPr="00E16FAD" w:rsidRDefault="0085398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Введение препарата должно регулярно проводиться медицинскими работниками</w:t>
      </w:r>
    </w:p>
    <w:p w14:paraId="0F2E7C81" w14:textId="77777777" w:rsidR="00853988" w:rsidRPr="00E16FAD" w:rsidRDefault="0085398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Если позволяет клиническая ситуация, лечащий врач может в отдельных случаях делегировать подкожное введение самому пациенту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.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Пациенты должны быть обучены правильной технике инъекций при самостоятельном введении метотрексата. Первую инъекцию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препарата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Метофил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следует проводить под непосредственным наблюдением врача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.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Метотрексат вводят один раз в неделю.</w:t>
      </w:r>
    </w:p>
    <w:p w14:paraId="056B2BDF" w14:textId="77777777" w:rsidR="00853988" w:rsidRPr="00E16FAD" w:rsidRDefault="0085398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Пациент должен быть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обязательно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проинформирован о факте введения препарата один раз в неделю. Рекомендуется назначить определенный день недели для инъекции.</w:t>
      </w:r>
    </w:p>
    <w:p w14:paraId="7B7EB6AA" w14:textId="77777777" w:rsidR="00853988" w:rsidRPr="00E16FAD" w:rsidRDefault="0085398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Элиминация метотрексата снижается у пациентов с третьим пространством распределения (асцит, плевральный выпот). Такие пациенты требуют особенно тщательного мониторинга на предмет токсичности и требуют снижения дозы или, в некоторых случаях, прекращения приема метотрексата.</w:t>
      </w:r>
    </w:p>
    <w:p w14:paraId="4732A1DA" w14:textId="77777777" w:rsidR="00853988" w:rsidRPr="00E16FAD" w:rsidRDefault="0085398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Препарат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Метофил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следует применять только один раз в неделю для лечения ревматоидного артрита, ювенильного артрита,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псориатического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артрита, псориаза, болезни Крона. Ошибки в дозировке при применении препарата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Метофил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могут привести к серьезным побочным реакциям, включая смерть. Пожалуйста, внимательно прочитайте этот раздел краткого описания характеристик продукта.</w:t>
      </w:r>
    </w:p>
    <w:p w14:paraId="31172F06" w14:textId="77777777" w:rsidR="000D2F22" w:rsidRPr="00E16FAD" w:rsidRDefault="000D2F22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Взрослые пациенты с ревматоидным артритом:</w:t>
      </w:r>
    </w:p>
    <w:p w14:paraId="6173C06F" w14:textId="77777777" w:rsidR="000D2F22" w:rsidRPr="00E16FAD" w:rsidRDefault="000D2F22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Рекомендуемая начальная доза составляет 7.5 мг метотрексата </w:t>
      </w:r>
      <w:r w:rsidRPr="00E16F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1 раз в неделю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подкожно, внутримышечно или внутривенно. В зависимости от выраженности заболевания и переносимости метотрексата пациентом доза может быть постепенно увеличена (по 2.5 мг в неделю). Максимальная доза, в целом, не должна превышать 25 мг в неделю. Дозы, превышающие </w:t>
      </w:r>
    </w:p>
    <w:p w14:paraId="30AA5890" w14:textId="747AA729" w:rsidR="000D2F22" w:rsidRPr="00E16FAD" w:rsidRDefault="000D2F22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20 мг/неделю, сопровождаются значительным увеличением частоты токсических эффектов, особенно, угнетением функции кроветворения. Ответ на леч</w:t>
      </w:r>
      <w:r w:rsidR="002F27A0"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ение обычно наступает через 4-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8 недель после начала применения препарата. После достижения желаемого ответа следует начинать снижение дозы до наиболее низкой эффективной поддерживающей дозы.</w:t>
      </w:r>
    </w:p>
    <w:p w14:paraId="121457EB" w14:textId="523D4589" w:rsidR="000D2F22" w:rsidRPr="00E16FAD" w:rsidRDefault="000D2F22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Дети и подростки до 16 лет с </w:t>
      </w:r>
      <w:proofErr w:type="spellStart"/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полиартритными</w:t>
      </w:r>
      <w:proofErr w:type="spellEnd"/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формами ювенильного хронического артрита:</w:t>
      </w:r>
    </w:p>
    <w:p w14:paraId="33606039" w14:textId="77777777" w:rsidR="00B335F5" w:rsidRPr="00E16FAD" w:rsidRDefault="00B335F5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Дети с площадью поверхности тела менее 0,75 м</w:t>
      </w:r>
      <w:proofErr w:type="gramStart"/>
      <w:r w:rsidRPr="00E16FAD">
        <w:rPr>
          <w:rFonts w:ascii="Times New Roman" w:eastAsia="Times New Roman" w:hAnsi="Times New Roman"/>
          <w:bCs/>
          <w:iCs/>
          <w:sz w:val="28"/>
          <w:szCs w:val="28"/>
          <w:vertAlign w:val="superscript"/>
          <w:lang w:eastAsia="ru-RU"/>
        </w:rPr>
        <w:t>2</w:t>
      </w:r>
      <w:proofErr w:type="gram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не могут быть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пролечены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этим п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репаратом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Если требуются более низкие дозы, чем 7,5 мг, следует использовать другой медицинский препарат.</w:t>
      </w:r>
    </w:p>
    <w:p w14:paraId="03F32CC2" w14:textId="1DBFC437" w:rsidR="00B335F5" w:rsidRPr="00E16FAD" w:rsidRDefault="00B335F5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Рекомендуемая до</w:t>
      </w:r>
      <w:r w:rsidR="002F27A0"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 метотрексата составляет 10-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15 мг/м</w:t>
      </w:r>
      <w:proofErr w:type="gramStart"/>
      <w:r w:rsidRPr="00E16FAD">
        <w:rPr>
          <w:rFonts w:ascii="Times New Roman" w:eastAsia="Times New Roman" w:hAnsi="Times New Roman"/>
          <w:bCs/>
          <w:iCs/>
          <w:sz w:val="28"/>
          <w:szCs w:val="28"/>
          <w:vertAlign w:val="superscript"/>
          <w:lang w:eastAsia="ru-RU"/>
        </w:rPr>
        <w:t>2</w:t>
      </w:r>
      <w:proofErr w:type="gram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поверхности тела </w:t>
      </w:r>
      <w:r w:rsidRPr="00E16F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один раз в неделю.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При недостаточной эффективности лечения доза может быть увеличена вплоть до 20 мг/м</w:t>
      </w:r>
      <w:proofErr w:type="gram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proofErr w:type="gram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поверхности тела </w:t>
      </w:r>
      <w:r w:rsidRPr="00E16FAD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один раз в неделю.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Однако</w:t>
      </w:r>
      <w:proofErr w:type="gram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</w:t>
      </w:r>
      <w:proofErr w:type="gram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увеличение дозы лекарственного средства требует увеличения частоты врачебных осмотров.</w:t>
      </w:r>
      <w:r w:rsidR="00B00DD8"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Пациенты с ювенильным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идиопатическим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артритом должны наблюдаться у ревматолога, специализирующегося в терапии детей и подростков.</w:t>
      </w:r>
    </w:p>
    <w:p w14:paraId="2308BAFC" w14:textId="77777777" w:rsidR="00B335F5" w:rsidRPr="00E16FAD" w:rsidRDefault="00B335F5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Использование препарата у детей младше 3 лет не рекомендуется из-за ограниченности данных о безопасности и эффективности препарата в данной возрастной группе.</w:t>
      </w:r>
    </w:p>
    <w:p w14:paraId="33E32BD6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Пациенты с псориазом и </w:t>
      </w:r>
      <w:proofErr w:type="spellStart"/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псориатическим</w:t>
      </w:r>
      <w:proofErr w:type="spellEnd"/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артритом:</w:t>
      </w:r>
    </w:p>
    <w:p w14:paraId="1360443A" w14:textId="158CBDE4" w:rsidR="00B335F5" w:rsidRPr="00E16FAD" w:rsidRDefault="00B335F5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 неделю до начала лечения рекомендуется ввести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парентерально</w:t>
      </w:r>
      <w:r w:rsidR="002F27A0"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тест-дозу 5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-10 мг метотрексата для выявления идиосинкразических нежелательных реакций. Рекомендуемая начальная доза - 7.5 мг метотрексата 1 раз в неделю подкожно. Дозу следует постепенно увеличивать, при этом максимальная доза в большинстве случаев не должна превышать 25 мг метотрексата в неделю. В целом, дозы, превышающие 20 мг, сопровождаются значительным увеличением частоты токсических эффектов, особенно, угнетением функции кроветворения. Ответ на леч</w:t>
      </w:r>
      <w:r w:rsidR="002F27A0"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ение обычно наступает через 2-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6 недель после начала применения препарата. После достижения желаемого ответа доза должна быть снижена до наиболее низкой эффективной поддерживающей дозы.</w:t>
      </w:r>
    </w:p>
    <w:p w14:paraId="38579017" w14:textId="77777777" w:rsidR="00B00DD8" w:rsidRPr="00E16FAD" w:rsidRDefault="00B00DD8" w:rsidP="00B00DD8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Максимальная еженедельная доза</w:t>
      </w:r>
    </w:p>
    <w:p w14:paraId="6F262DF9" w14:textId="77777777" w:rsidR="00B335F5" w:rsidRPr="00E16FAD" w:rsidRDefault="00B335F5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 необходимости, доза может быть увеличена, но, в целом, не должна превышать максимальную рекомендуемую недельную дозу 25 мг. В некоторых исключительных случаях более высокая доза может быть клинически оправдана, но она не должна превышать максимальную еженедельную дозу метотрексата 30 мг ввиду существенного повышения токсичности.</w:t>
      </w:r>
    </w:p>
    <w:p w14:paraId="4FAD14B5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Пациенты с болезнью Крона</w:t>
      </w:r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</w:p>
    <w:p w14:paraId="3E004037" w14:textId="0F642372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Индукция ремиссии: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25 мг в неделю подкожно.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Ответ на терапию ожидается </w:t>
      </w:r>
      <w:r w:rsidR="00041028"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приблизительно через 8-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12 недель.</w:t>
      </w:r>
    </w:p>
    <w:p w14:paraId="2AAC5D5E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Поддерживающая терапия: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 xml:space="preserve">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15 мг в неделю подкожно.</w:t>
      </w:r>
    </w:p>
    <w:p w14:paraId="31869B64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Опыт применения у детей недостаточен для рекомендации использования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метотрексата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для терапии болезни Крона в данной популяции.</w:t>
      </w:r>
    </w:p>
    <w:p w14:paraId="140426AB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Пациенты с нарушением функции почек</w:t>
      </w:r>
    </w:p>
    <w:p w14:paraId="7E4C31B4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Метотрексат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должен применяться с осторожностью у пациентов с нарушением функции почек. В зависимости от значения клиренса креатинина дозу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метотрексата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следует скорректировать в соответствии с нижеследующей таблицей: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5"/>
        <w:gridCol w:w="5758"/>
      </w:tblGrid>
      <w:tr w:rsidR="007123A8" w:rsidRPr="00E16FAD" w14:paraId="6A1EA70D" w14:textId="77777777" w:rsidTr="008D4DE2">
        <w:trPr>
          <w:trHeight w:val="653"/>
          <w:jc w:val="center"/>
        </w:trPr>
        <w:tc>
          <w:tcPr>
            <w:tcW w:w="3205" w:type="dxa"/>
          </w:tcPr>
          <w:p w14:paraId="4C1BC073" w14:textId="77777777" w:rsidR="007123A8" w:rsidRPr="00E16FAD" w:rsidRDefault="007123A8" w:rsidP="00295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Клиренс креатинина, мл/мин</w:t>
            </w:r>
          </w:p>
        </w:tc>
        <w:tc>
          <w:tcPr>
            <w:tcW w:w="5758" w:type="dxa"/>
          </w:tcPr>
          <w:p w14:paraId="5FB2D192" w14:textId="77777777" w:rsidR="007123A8" w:rsidRPr="00E16FAD" w:rsidRDefault="007123A8" w:rsidP="00295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Доза метотрексата (% от обычной дозы)</w:t>
            </w:r>
          </w:p>
        </w:tc>
      </w:tr>
      <w:tr w:rsidR="007123A8" w:rsidRPr="00E16FAD" w14:paraId="2219D8C4" w14:textId="77777777" w:rsidTr="008D4DE2">
        <w:trPr>
          <w:trHeight w:val="319"/>
          <w:jc w:val="center"/>
        </w:trPr>
        <w:tc>
          <w:tcPr>
            <w:tcW w:w="3205" w:type="dxa"/>
          </w:tcPr>
          <w:p w14:paraId="34FB95D5" w14:textId="03044A09" w:rsidR="007123A8" w:rsidRPr="00E16FAD" w:rsidRDefault="00041028" w:rsidP="00295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&gt;</w:t>
            </w:r>
            <w:r w:rsidR="007123A8"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758" w:type="dxa"/>
          </w:tcPr>
          <w:p w14:paraId="32AFECBD" w14:textId="4867A5D9" w:rsidR="007123A8" w:rsidRPr="00E16FAD" w:rsidRDefault="00041028" w:rsidP="00295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</w:t>
            </w:r>
            <w:r w:rsidR="007123A8"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123A8" w:rsidRPr="00E16FAD" w14:paraId="2B38FB85" w14:textId="77777777" w:rsidTr="008D4DE2">
        <w:trPr>
          <w:trHeight w:val="319"/>
          <w:jc w:val="center"/>
        </w:trPr>
        <w:tc>
          <w:tcPr>
            <w:tcW w:w="3205" w:type="dxa"/>
          </w:tcPr>
          <w:p w14:paraId="549DA354" w14:textId="77777777" w:rsidR="007123A8" w:rsidRPr="00E16FAD" w:rsidRDefault="007123A8" w:rsidP="00295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30-59</w:t>
            </w:r>
          </w:p>
        </w:tc>
        <w:tc>
          <w:tcPr>
            <w:tcW w:w="5758" w:type="dxa"/>
          </w:tcPr>
          <w:p w14:paraId="3E8FBC56" w14:textId="31905698" w:rsidR="007123A8" w:rsidRPr="00E16FAD" w:rsidRDefault="00041028" w:rsidP="00295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7123A8"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  <w:tr w:rsidR="007123A8" w:rsidRPr="00E16FAD" w14:paraId="60BD1C4F" w14:textId="77777777" w:rsidTr="008D4DE2">
        <w:trPr>
          <w:trHeight w:val="319"/>
          <w:jc w:val="center"/>
        </w:trPr>
        <w:tc>
          <w:tcPr>
            <w:tcW w:w="3205" w:type="dxa"/>
          </w:tcPr>
          <w:p w14:paraId="4415F3B5" w14:textId="44F1DCB7" w:rsidR="007123A8" w:rsidRPr="00E16FAD" w:rsidRDefault="00041028" w:rsidP="00295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&lt;</w:t>
            </w:r>
            <w:r w:rsidR="007123A8"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758" w:type="dxa"/>
          </w:tcPr>
          <w:p w14:paraId="19335128" w14:textId="77777777" w:rsidR="007123A8" w:rsidRPr="00E16FAD" w:rsidRDefault="007123A8" w:rsidP="00295D0C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Применение </w:t>
            </w:r>
            <w:r w:rsidRPr="00E16FAD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метотрексата</w:t>
            </w:r>
            <w:r w:rsidRPr="00E16F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противопоказано</w:t>
            </w:r>
          </w:p>
        </w:tc>
      </w:tr>
    </w:tbl>
    <w:p w14:paraId="51F3E60E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14:paraId="14CD7B62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Пациенты с нарушением функции печени</w:t>
      </w:r>
    </w:p>
    <w:p w14:paraId="2A031F57" w14:textId="6430FA33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У пациентов с выраженными заболеваниями печени в настоящее время или в анамнезе, особенно вызванными приемом алкоголя,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метотрексат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в случае целесообразности его применения, следует применять с большой осторожностью. При уровне билирубина</w:t>
      </w:r>
      <w:r w:rsidR="00041028"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&gt;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 мг/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дл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(85,5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мкмоль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/л)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метотрексат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противопоказан. </w:t>
      </w:r>
    </w:p>
    <w:p w14:paraId="54D6240C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Пожилые пациенты</w:t>
      </w:r>
    </w:p>
    <w:p w14:paraId="3631B93A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Следует применять с осторожностью, нередко необходима коррекция дозы в сторону снижения из-за возрастного снижения функции печени и почек, а также пониженного запаса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фолатов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организме.</w:t>
      </w:r>
    </w:p>
    <w:p w14:paraId="2C9BA9E2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Пациенты с патологическим накоплением жидкости в организме (плевральный выпот, асцит)</w:t>
      </w:r>
    </w:p>
    <w:p w14:paraId="6AD10556" w14:textId="77777777" w:rsidR="007123A8" w:rsidRPr="00E16FAD" w:rsidRDefault="007123A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Поскольку время полувыведения метотрексата может увеличиваться до 4 раз в сравнении с нормой, пациенты с наличием патологического скопления жидкости в организме нуждаются в снижении дозы, а в некоторых случаях, и в отмене терапии препаратом. </w:t>
      </w:r>
    </w:p>
    <w:bookmarkEnd w:id="7"/>
    <w:p w14:paraId="12DD7AC8" w14:textId="77777777" w:rsidR="007303E1" w:rsidRPr="00E16FAD" w:rsidRDefault="007303E1" w:rsidP="007303E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E16FAD">
        <w:rPr>
          <w:rFonts w:ascii="Times New Roman" w:hAnsi="Times New Roman"/>
          <w:i/>
          <w:sz w:val="28"/>
          <w:szCs w:val="28"/>
        </w:rPr>
        <w:t xml:space="preserve"> </w:t>
      </w:r>
    </w:p>
    <w:p w14:paraId="328CE79D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Симптомы: токсическое действие метотрексата в основном проявляется со стороны системы кроветворения.</w:t>
      </w:r>
    </w:p>
    <w:p w14:paraId="629E4461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Лечение: кальция </w:t>
      </w:r>
      <w:proofErr w:type="spellStart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фолинат</w:t>
      </w:r>
      <w:proofErr w:type="spellEnd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является специфическим антидотом для нейтрализации токсического действия метотрексата. При случайной передозировке – в течение первого часа после введения метотрексата должна быть введена внутривенно или внутримышечно доза кальция </w:t>
      </w:r>
      <w:proofErr w:type="spellStart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фолината</w:t>
      </w:r>
      <w:proofErr w:type="spellEnd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равная или превышающая дозу метотрексата. Далее по мере необходимости введение кальция </w:t>
      </w:r>
      <w:proofErr w:type="spellStart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фолината</w:t>
      </w:r>
      <w:proofErr w:type="spellEnd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должно быть продолжено до достижения уровня метотрексата в сыворотке крови ниже 10</w:t>
      </w:r>
      <w:r w:rsidRPr="00E16FAD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-7</w:t>
      </w: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моль/</w:t>
      </w:r>
      <w:proofErr w:type="gramStart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proofErr w:type="gramEnd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6CB22EFA" w14:textId="77777777" w:rsidR="00A12563" w:rsidRPr="00E16FAD" w:rsidRDefault="00AF1BB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значительной передозировки для предупреждения преципитации метотрексата и/или его метаболитов в почечных канальцах проводят гидратацию организма и подщелачивание мочи, что ускоряет выведение метотрексата. Гемодиализ и </w:t>
      </w:r>
      <w:proofErr w:type="spellStart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перитониальный</w:t>
      </w:r>
      <w:proofErr w:type="spellEnd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диализ не ускоряют выведение метотрексата. Сообщалось об эффективности прерывистого </w:t>
      </w: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(периодического) гемодиализа с применением аппарата высокоскоростного диализа.</w:t>
      </w:r>
    </w:p>
    <w:p w14:paraId="0AC122B0" w14:textId="77777777" w:rsidR="007E4721" w:rsidRPr="00E16FAD" w:rsidRDefault="007E4721" w:rsidP="00295D0C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bookmarkStart w:id="9" w:name="2175220282"/>
      <w:bookmarkEnd w:id="8"/>
      <w:r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E16FAD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14:paraId="651D1E5B" w14:textId="5BEBA100" w:rsidR="00085B76" w:rsidRPr="00E16FAD" w:rsidRDefault="00085B76" w:rsidP="00085B7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Раствор метотрексата для инъекций вводят подкожно.</w:t>
      </w:r>
    </w:p>
    <w:p w14:paraId="2120508A" w14:textId="441B2E6B" w:rsidR="0029002A" w:rsidRPr="00E16FAD" w:rsidRDefault="0029002A" w:rsidP="00B75404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bookmarkStart w:id="10" w:name="_Hlk100567474"/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Применение </w:t>
      </w:r>
      <w:proofErr w:type="spellStart"/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Метофил</w:t>
      </w:r>
      <w:proofErr w:type="spellEnd"/>
    </w:p>
    <w:p w14:paraId="6FBE92F3" w14:textId="77777777" w:rsidR="0029002A" w:rsidRPr="00E16FAD" w:rsidRDefault="0029002A" w:rsidP="002900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Наиболее подходящими местами для инъекций являются:</w:t>
      </w:r>
    </w:p>
    <w:p w14:paraId="7D1865CA" w14:textId="77777777" w:rsidR="0029002A" w:rsidRPr="00E16FAD" w:rsidRDefault="0029002A" w:rsidP="0029002A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верхняя часть бедра,</w:t>
      </w:r>
    </w:p>
    <w:p w14:paraId="7CE59DD2" w14:textId="120265AA" w:rsidR="0029002A" w:rsidRPr="00E16FAD" w:rsidRDefault="0029002A" w:rsidP="0029002A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живот, за исключением области вокруг пупка.</w:t>
      </w:r>
    </w:p>
    <w:p w14:paraId="0FE47C06" w14:textId="77777777" w:rsidR="0029002A" w:rsidRPr="00E16FAD" w:rsidRDefault="0029002A" w:rsidP="0029002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1. Обработать место инъекции проспиртованным тампоном</w:t>
      </w:r>
    </w:p>
    <w:p w14:paraId="4B76BA09" w14:textId="77777777" w:rsidR="0029002A" w:rsidRPr="00E16FAD" w:rsidRDefault="0029002A" w:rsidP="0029002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ab/>
        <w:t>Снять с иглы защитную насадку.</w:t>
      </w:r>
    </w:p>
    <w:p w14:paraId="24CBCC87" w14:textId="77777777" w:rsidR="0029002A" w:rsidRPr="00E16FAD" w:rsidRDefault="0029002A" w:rsidP="0029002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ab/>
        <w:t>Кожу в месте предполагаемой инъекции собрать в складку.</w:t>
      </w:r>
    </w:p>
    <w:p w14:paraId="3972280B" w14:textId="77777777" w:rsidR="0029002A" w:rsidRPr="00E16FAD" w:rsidRDefault="0029002A" w:rsidP="0029002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ab/>
        <w:t>Складку нужно удерживать до окончания инъекции и извлечения шприца.</w:t>
      </w:r>
    </w:p>
    <w:p w14:paraId="6B76EF08" w14:textId="77777777" w:rsidR="0029002A" w:rsidRPr="00E16FAD" w:rsidRDefault="0029002A" w:rsidP="0029002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ab/>
        <w:t>Полностью ввести иглу в кожную складку под углом в 90°.</w:t>
      </w:r>
    </w:p>
    <w:p w14:paraId="4CBCF938" w14:textId="77777777" w:rsidR="0029002A" w:rsidRPr="00E16FAD" w:rsidRDefault="0029002A" w:rsidP="002900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ab/>
        <w:t>Надавить на поршень и медленно ввести содержимое шприца под кожу до тех пор, пока не будет введена все содержимое шприца. Сохраняя давление на поршень, извлечь шприц под тем же углом в 90°.</w:t>
      </w:r>
      <w:r w:rsidRPr="00E16FAD">
        <w:rPr>
          <w:rFonts w:ascii="Times New Roman" w:hAnsi="Times New Roman"/>
          <w:sz w:val="28"/>
          <w:szCs w:val="28"/>
        </w:rPr>
        <w:t xml:space="preserve"> </w:t>
      </w:r>
    </w:p>
    <w:p w14:paraId="2758BF89" w14:textId="0102F2C5" w:rsidR="0029002A" w:rsidRPr="00E16FAD" w:rsidRDefault="0029002A" w:rsidP="0029002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FAD">
        <w:rPr>
          <w:rFonts w:ascii="Times New Roman" w:hAnsi="Times New Roman"/>
          <w:sz w:val="28"/>
          <w:szCs w:val="28"/>
          <w:lang w:eastAsia="ru-RU"/>
        </w:rPr>
        <w:t>Предохранитель иглы прикроет иглу при отпускании плунжера. Защитный кожух иглы закрывает иглу после инъекции, чтобы предотвратить травму иглы. Это не влияет на нормальную работу шприца.</w:t>
      </w:r>
    </w:p>
    <w:p w14:paraId="56ACD3FE" w14:textId="66B429DD" w:rsidR="0029002A" w:rsidRPr="00E16FAD" w:rsidRDefault="0029002A" w:rsidP="00B7540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6FAD">
        <w:rPr>
          <w:rFonts w:ascii="Times New Roman" w:hAnsi="Times New Roman"/>
          <w:sz w:val="28"/>
          <w:szCs w:val="28"/>
          <w:lang w:eastAsia="ru-RU"/>
        </w:rPr>
        <w:t>Пожалуйста, обратите внимание, что все содержимое шприца должно быть использовано: этот продукт не предназначен для доставки частичной дозы.</w:t>
      </w:r>
      <w:bookmarkEnd w:id="10"/>
    </w:p>
    <w:p w14:paraId="0FE28606" w14:textId="77777777" w:rsidR="00B75404" w:rsidRPr="00E16FAD" w:rsidRDefault="00B75404" w:rsidP="00B7540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Общая продолжительность лечения определяется врачом.</w:t>
      </w:r>
    </w:p>
    <w:p w14:paraId="003C5EAA" w14:textId="77777777" w:rsidR="00B75404" w:rsidRPr="00E16FAD" w:rsidRDefault="00B75404" w:rsidP="00B7540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Примечание:</w:t>
      </w:r>
    </w:p>
    <w:p w14:paraId="27084200" w14:textId="77777777" w:rsidR="00B75404" w:rsidRPr="00E16FAD" w:rsidRDefault="00B75404" w:rsidP="00B7540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При переходе от перорального к парентеральному введению может потребоваться снижение дозы из-за переменной биодоступности метотрексата после перорального введения.</w:t>
      </w:r>
    </w:p>
    <w:p w14:paraId="02D8D438" w14:textId="77777777" w:rsidR="00B75404" w:rsidRPr="00E16FAD" w:rsidRDefault="00B75404" w:rsidP="00B75404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Добавление фолиевой кислоты может быть рассмотрено в соответствии с действующими рекомендациями по лечению.</w:t>
      </w:r>
    </w:p>
    <w:p w14:paraId="2E4A887E" w14:textId="77777777" w:rsidR="00085B76" w:rsidRPr="00E16FAD" w:rsidRDefault="00085B76" w:rsidP="00085B76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16FAD">
        <w:rPr>
          <w:rFonts w:ascii="Times New Roman" w:hAnsi="Times New Roman"/>
          <w:b/>
          <w:i/>
          <w:color w:val="000000"/>
          <w:sz w:val="28"/>
          <w:szCs w:val="28"/>
        </w:rPr>
        <w:t>Рекомендации по обращению за консультацией к медицинскому работнику для разъяснения способа применения лекарственного препарата</w:t>
      </w:r>
    </w:p>
    <w:p w14:paraId="60EF9AF9" w14:textId="72DB0EF8" w:rsidR="00C54C79" w:rsidRPr="00E16FAD" w:rsidRDefault="00C54C79" w:rsidP="00C54C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Перед применением проконсультируйтесь с лечащим врачом.</w:t>
      </w:r>
    </w:p>
    <w:p w14:paraId="29461F8C" w14:textId="77777777" w:rsidR="007E4721" w:rsidRPr="00E16FAD" w:rsidRDefault="007E4721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0234FAA1" w14:textId="77777777" w:rsidR="001937AD" w:rsidRPr="00E16FAD" w:rsidRDefault="001937AD" w:rsidP="00295D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E16FAD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p w14:paraId="457FB1E1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bookmarkStart w:id="11" w:name="_Hlk55546631"/>
      <w:bookmarkEnd w:id="9"/>
      <w:r w:rsidRPr="00E16FA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Краткая характеристика профиля безопасности</w:t>
      </w:r>
    </w:p>
    <w:p w14:paraId="4ED7D1D7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Наиболее серьезные нежелательные реакции при применении метотрексата включают угнетение костного мозга, легочную токсичность,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гепатотоксичность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нефротоксичность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нейротоксичность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тромбоэмболические явления, анафилактический шок и синдром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Стивенса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-Джонсона.</w:t>
      </w:r>
    </w:p>
    <w:p w14:paraId="489A126D" w14:textId="77777777" w:rsidR="00AF1BB8" w:rsidRPr="00E16FAD" w:rsidRDefault="00AF1BB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Наиболее распространенными (очень часто) наблюдаемыми нежелательными реакциями при введении метотрексата являются 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нарушения со стороны желудочно-кишечного тракта, например, стоматит, диспепсия, боли в животе, тошнота, потеря аппетита, и отклонения функциональных проб печени, в частности, увеличение показателей АЛТ, АСТ, билирубина, щелочной фосфатазы. </w:t>
      </w:r>
      <w:proofErr w:type="gram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Другие распространенные (часто) нежелательные реакции включают лейкопению, анемию, тромбопению, головную боль, усталость, сонливость, пневмонию, интерстициальный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альвеолит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/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пневмонит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, часто в сочетании с </w:t>
      </w:r>
      <w:proofErr w:type="spellStart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эозинофилией</w:t>
      </w:r>
      <w:proofErr w:type="spellEnd"/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язвы в полости рта, диарею, экзантему, эритему и зуд.</w:t>
      </w:r>
      <w:proofErr w:type="gramEnd"/>
    </w:p>
    <w:p w14:paraId="59C1B9F6" w14:textId="2326BD7B" w:rsidR="00AF1BB8" w:rsidRPr="00E16FAD" w:rsidRDefault="00AF1BB8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Наиболее значимыми нежелательными эффектами являются подавление системы кроветворения и нарушения со стороны желудочно-кишечного тракта.</w:t>
      </w:r>
    </w:p>
    <w:p w14:paraId="203FEA55" w14:textId="041E6308" w:rsidR="001141DC" w:rsidRPr="00E16FAD" w:rsidRDefault="001141DC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Cs/>
          <w:sz w:val="28"/>
          <w:szCs w:val="28"/>
          <w:lang w:val="kk-KZ" w:eastAsia="ru-RU"/>
        </w:rPr>
        <w:t>Другие</w:t>
      </w:r>
      <w:r w:rsidRPr="00E16FA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побочные эффекты, которые могут возникнуть:</w:t>
      </w:r>
    </w:p>
    <w:bookmarkEnd w:id="11"/>
    <w:p w14:paraId="7807EE73" w14:textId="77777777" w:rsidR="001937AD" w:rsidRPr="00E16FAD" w:rsidRDefault="001937AD" w:rsidP="00295D0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Очень часто </w:t>
      </w:r>
    </w:p>
    <w:p w14:paraId="6353BB0B" w14:textId="77777777" w:rsidR="00935208" w:rsidRPr="00E16FAD" w:rsidRDefault="00C9099E" w:rsidP="00295D0C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FAD">
        <w:rPr>
          <w:rFonts w:ascii="Times New Roman" w:hAnsi="Times New Roman"/>
          <w:sz w:val="28"/>
          <w:szCs w:val="28"/>
        </w:rPr>
        <w:t>отклонение показателей функции печени (повышение активности АЛТ, АСТ, щелочной фосфатазы и билирубина)</w:t>
      </w:r>
    </w:p>
    <w:p w14:paraId="1E3B8C36" w14:textId="77777777" w:rsidR="00935208" w:rsidRPr="00E16FAD" w:rsidRDefault="00935208" w:rsidP="00295D0C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стоматит, диспепсия, тошнота, потеря аппетита, боль в животе</w:t>
      </w:r>
    </w:p>
    <w:p w14:paraId="6D7EA6B7" w14:textId="77777777" w:rsidR="001937AD" w:rsidRPr="00E16FAD" w:rsidRDefault="001937AD" w:rsidP="00295D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6FAD">
        <w:rPr>
          <w:rFonts w:ascii="Times New Roman" w:hAnsi="Times New Roman"/>
          <w:i/>
          <w:sz w:val="28"/>
          <w:szCs w:val="28"/>
        </w:rPr>
        <w:t xml:space="preserve">Часто </w:t>
      </w:r>
    </w:p>
    <w:p w14:paraId="2ECEB60A" w14:textId="77777777" w:rsidR="00935208" w:rsidRPr="00E16FAD" w:rsidRDefault="00935208" w:rsidP="00295D0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лейкопения, анемия, тромбоцитопения</w:t>
      </w:r>
    </w:p>
    <w:p w14:paraId="4B2A6557" w14:textId="77777777" w:rsidR="00935208" w:rsidRPr="00E16FAD" w:rsidRDefault="00935208" w:rsidP="00295D0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головная боль, утомляемость, сонливость</w:t>
      </w:r>
    </w:p>
    <w:p w14:paraId="347E8DED" w14:textId="77777777" w:rsidR="00935208" w:rsidRPr="00E16FAD" w:rsidRDefault="00935208" w:rsidP="00295D0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пневмония, </w:t>
      </w:r>
      <w:proofErr w:type="gramStart"/>
      <w:r w:rsidRPr="00E16FAD">
        <w:rPr>
          <w:rFonts w:ascii="Times New Roman" w:hAnsi="Times New Roman"/>
          <w:sz w:val="28"/>
          <w:szCs w:val="28"/>
        </w:rPr>
        <w:t>интерстициальный</w:t>
      </w:r>
      <w:proofErr w:type="gramEnd"/>
      <w:r w:rsidRPr="00E16FAD">
        <w:rPr>
          <w:rFonts w:ascii="Times New Roman" w:hAnsi="Times New Roman"/>
          <w:sz w:val="28"/>
          <w:szCs w:val="28"/>
        </w:rPr>
        <w:t xml:space="preserve"> альвеолит/пневмония часто с сопутствующей </w:t>
      </w:r>
      <w:proofErr w:type="spellStart"/>
      <w:r w:rsidRPr="00E16FAD">
        <w:rPr>
          <w:rFonts w:ascii="Times New Roman" w:hAnsi="Times New Roman"/>
          <w:sz w:val="28"/>
          <w:szCs w:val="28"/>
        </w:rPr>
        <w:t>эозинофилией</w:t>
      </w:r>
      <w:proofErr w:type="spellEnd"/>
      <w:r w:rsidRPr="00E16FAD">
        <w:rPr>
          <w:rFonts w:ascii="Times New Roman" w:hAnsi="Times New Roman"/>
          <w:sz w:val="28"/>
          <w:szCs w:val="28"/>
        </w:rPr>
        <w:t>. Симптомы потенциально тяжелой интерстициальной пневмонии: сухой непродуктивный кашель, одышка и лихорадка.</w:t>
      </w:r>
    </w:p>
    <w:p w14:paraId="76179656" w14:textId="77777777" w:rsidR="00935208" w:rsidRPr="00E16FAD" w:rsidRDefault="00935208" w:rsidP="00295D0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язвы в полости рта, диарея</w:t>
      </w:r>
    </w:p>
    <w:p w14:paraId="01EF47E6" w14:textId="77777777" w:rsidR="00935208" w:rsidRPr="00E16FAD" w:rsidRDefault="00935208" w:rsidP="00295D0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экзантема, эритема, кожный зуд</w:t>
      </w:r>
    </w:p>
    <w:p w14:paraId="53A5F056" w14:textId="77777777" w:rsidR="00F40388" w:rsidRPr="00E16FAD" w:rsidRDefault="00F40388" w:rsidP="00295D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6FAD">
        <w:rPr>
          <w:rFonts w:ascii="Times New Roman" w:hAnsi="Times New Roman"/>
          <w:i/>
          <w:sz w:val="28"/>
          <w:szCs w:val="28"/>
        </w:rPr>
        <w:t xml:space="preserve">Нечасто </w:t>
      </w:r>
    </w:p>
    <w:p w14:paraId="2001EC69" w14:textId="77777777" w:rsidR="00935208" w:rsidRPr="00E16FAD" w:rsidRDefault="00935208" w:rsidP="00295D0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фарингит</w:t>
      </w:r>
    </w:p>
    <w:p w14:paraId="04D74879" w14:textId="77777777" w:rsidR="00935208" w:rsidRPr="00E16FAD" w:rsidRDefault="00935208" w:rsidP="00295D0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панцитопения</w:t>
      </w:r>
    </w:p>
    <w:p w14:paraId="5203F2A4" w14:textId="77777777" w:rsidR="00935208" w:rsidRPr="00E16FAD" w:rsidRDefault="00935208" w:rsidP="00295D0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дебют сахарного диабета</w:t>
      </w:r>
    </w:p>
    <w:p w14:paraId="7C806F9E" w14:textId="77777777" w:rsidR="00935208" w:rsidRPr="00E16FAD" w:rsidRDefault="00935208" w:rsidP="00295D0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депрессия, спутанность сознания</w:t>
      </w:r>
    </w:p>
    <w:p w14:paraId="6646EBC5" w14:textId="77777777" w:rsidR="00935208" w:rsidRPr="00E16FAD" w:rsidRDefault="00935208" w:rsidP="00295D0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головокружение</w:t>
      </w:r>
    </w:p>
    <w:p w14:paraId="49CFC9A5" w14:textId="77777777" w:rsidR="00935208" w:rsidRPr="00E16FAD" w:rsidRDefault="00935208" w:rsidP="00295D0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цирроз, фиброз и жировое перерождение печени, снижение сывороточного альбумина</w:t>
      </w:r>
    </w:p>
    <w:p w14:paraId="43779A0E" w14:textId="77777777" w:rsidR="00935208" w:rsidRPr="00E16FAD" w:rsidRDefault="00935208" w:rsidP="00295D0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язвы и кровотечение в желудочно-кишечном тракте, энтерит, рвота, панкреатит</w:t>
      </w:r>
    </w:p>
    <w:p w14:paraId="5E5DE021" w14:textId="77777777" w:rsidR="00935208" w:rsidRPr="00E16FAD" w:rsidRDefault="00935208" w:rsidP="00295D0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воспаление и изъязвление мочевого пузыря, нарушение функции почек, нарушение мочеиспускания</w:t>
      </w:r>
    </w:p>
    <w:p w14:paraId="526C320C" w14:textId="44677F65" w:rsidR="00935208" w:rsidRPr="00E16FAD" w:rsidRDefault="00935208" w:rsidP="00295D0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 xml:space="preserve">фотосенсибилизация, облысение, увеличение ревматических узлов, васкулит, </w:t>
      </w:r>
      <w:r w:rsidR="001141DC" w:rsidRPr="00E16FAD">
        <w:rPr>
          <w:rFonts w:ascii="Times New Roman" w:hAnsi="Times New Roman"/>
          <w:sz w:val="28"/>
          <w:szCs w:val="28"/>
          <w:lang w:val="kk-KZ"/>
        </w:rPr>
        <w:t>опоясывющий лишай</w:t>
      </w:r>
      <w:r w:rsidRPr="00E16FAD">
        <w:rPr>
          <w:rFonts w:ascii="Times New Roman" w:hAnsi="Times New Roman"/>
          <w:sz w:val="28"/>
          <w:szCs w:val="28"/>
          <w:lang w:val="kk-KZ"/>
        </w:rPr>
        <w:t>, кожные язвы, герпетиформные высыпания на коже, крапивница</w:t>
      </w:r>
    </w:p>
    <w:p w14:paraId="1BC8CAF5" w14:textId="77777777" w:rsidR="00935208" w:rsidRPr="00E16FAD" w:rsidRDefault="00935208" w:rsidP="00295D0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воспаление и изъязвление влагалища</w:t>
      </w:r>
    </w:p>
    <w:p w14:paraId="011ECF42" w14:textId="77777777" w:rsidR="00935208" w:rsidRPr="00E16FAD" w:rsidRDefault="00935208" w:rsidP="00295D0C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kk-KZ"/>
        </w:rPr>
      </w:pPr>
      <w:r w:rsidRPr="00E16FAD">
        <w:rPr>
          <w:rFonts w:ascii="Times New Roman" w:hAnsi="Times New Roman"/>
          <w:sz w:val="28"/>
          <w:szCs w:val="28"/>
          <w:lang w:val="kk-KZ"/>
        </w:rPr>
        <w:t>артралгия, миалгия, остеопороз</w:t>
      </w:r>
    </w:p>
    <w:p w14:paraId="1601B793" w14:textId="77777777" w:rsidR="001937AD" w:rsidRPr="00E16FAD" w:rsidRDefault="001937AD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E16FAD">
        <w:rPr>
          <w:rFonts w:ascii="Times New Roman" w:hAnsi="Times New Roman"/>
          <w:i/>
          <w:sz w:val="28"/>
          <w:szCs w:val="28"/>
        </w:rPr>
        <w:t xml:space="preserve">Редко </w:t>
      </w:r>
    </w:p>
    <w:p w14:paraId="5AEC3667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lastRenderedPageBreak/>
        <w:t>инфекция (включая реактивацию неактивной хронической инфекции), сепсис, конъюнктивит</w:t>
      </w:r>
    </w:p>
    <w:p w14:paraId="32EFF502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аллергические реакции, анафилактический шок, </w:t>
      </w:r>
      <w:proofErr w:type="spellStart"/>
      <w:r w:rsidRPr="00E16FAD">
        <w:rPr>
          <w:rFonts w:ascii="Times New Roman" w:hAnsi="Times New Roman"/>
          <w:sz w:val="28"/>
          <w:szCs w:val="28"/>
        </w:rPr>
        <w:t>гипогаммаглобулинемия</w:t>
      </w:r>
      <w:proofErr w:type="spellEnd"/>
    </w:p>
    <w:p w14:paraId="3A9718F5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изменение настроения</w:t>
      </w:r>
    </w:p>
    <w:p w14:paraId="51A53091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расстройства зрения</w:t>
      </w:r>
    </w:p>
    <w:p w14:paraId="4945020B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перикардит, перикардиальный выпот, тампонада сердца</w:t>
      </w:r>
    </w:p>
    <w:p w14:paraId="776C31E4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гипотензия, тромбоэмболические явления</w:t>
      </w:r>
    </w:p>
    <w:p w14:paraId="0CC2E620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острый гепатит</w:t>
      </w:r>
    </w:p>
    <w:p w14:paraId="2C031B7D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легочный фиброз, легочный пневмоцистоз, одышка и бронхиальная астма, плевральный выпот</w:t>
      </w:r>
    </w:p>
    <w:p w14:paraId="0E42574A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гингивит</w:t>
      </w:r>
    </w:p>
    <w:p w14:paraId="221B734C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почечная недостаточность, олигурия, анурия, нарушения электролитного баланса</w:t>
      </w:r>
    </w:p>
    <w:p w14:paraId="1222F40B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повышенная пигментация, акне, петехии, экхимоз, </w:t>
      </w:r>
      <w:proofErr w:type="gramStart"/>
      <w:r w:rsidRPr="00E16FAD">
        <w:rPr>
          <w:rFonts w:ascii="Times New Roman" w:hAnsi="Times New Roman"/>
          <w:sz w:val="28"/>
          <w:szCs w:val="28"/>
        </w:rPr>
        <w:t>аллергический</w:t>
      </w:r>
      <w:proofErr w:type="gramEnd"/>
      <w:r w:rsidRPr="00E16FAD">
        <w:rPr>
          <w:rFonts w:ascii="Times New Roman" w:hAnsi="Times New Roman"/>
          <w:sz w:val="28"/>
          <w:szCs w:val="28"/>
        </w:rPr>
        <w:t xml:space="preserve"> васкулит</w:t>
      </w:r>
    </w:p>
    <w:p w14:paraId="61F8FDC5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лихорадка, ухудшение заживления ран</w:t>
      </w:r>
    </w:p>
    <w:p w14:paraId="282C5C1D" w14:textId="77777777" w:rsidR="00935208" w:rsidRPr="00E16FAD" w:rsidRDefault="00935208" w:rsidP="00295D0C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компрессионный перелом</w:t>
      </w:r>
    </w:p>
    <w:p w14:paraId="48D68D71" w14:textId="77777777" w:rsidR="005C4B12" w:rsidRPr="00E16FAD" w:rsidRDefault="001937AD" w:rsidP="00295D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6FAD">
        <w:rPr>
          <w:rFonts w:ascii="Times New Roman" w:hAnsi="Times New Roman"/>
          <w:i/>
          <w:sz w:val="28"/>
          <w:szCs w:val="28"/>
        </w:rPr>
        <w:t>Очень редко</w:t>
      </w:r>
      <w:r w:rsidR="00620F34" w:rsidRPr="00E16FAD">
        <w:rPr>
          <w:rFonts w:ascii="Times New Roman" w:hAnsi="Times New Roman"/>
          <w:i/>
          <w:sz w:val="28"/>
          <w:szCs w:val="28"/>
        </w:rPr>
        <w:t xml:space="preserve"> </w:t>
      </w:r>
    </w:p>
    <w:p w14:paraId="69FCF7C6" w14:textId="77777777" w:rsidR="00935208" w:rsidRPr="00E16FAD" w:rsidRDefault="00935208" w:rsidP="00295D0C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лимфома</w:t>
      </w:r>
    </w:p>
    <w:p w14:paraId="28BA4AF6" w14:textId="77777777" w:rsidR="00935208" w:rsidRPr="00E16FAD" w:rsidRDefault="00935208" w:rsidP="00295D0C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агранулоцитоз, тяжелое угнетение функции костного мозга, </w:t>
      </w:r>
      <w:proofErr w:type="spellStart"/>
      <w:r w:rsidRPr="00E16FAD">
        <w:rPr>
          <w:rFonts w:ascii="Times New Roman" w:hAnsi="Times New Roman"/>
          <w:sz w:val="28"/>
          <w:szCs w:val="28"/>
        </w:rPr>
        <w:t>лимфопролиферативные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нарушения </w:t>
      </w:r>
    </w:p>
    <w:p w14:paraId="1E0E1C87" w14:textId="77777777" w:rsidR="00F5462A" w:rsidRPr="00E16FAD" w:rsidRDefault="00935208" w:rsidP="00F5462A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боль, мышечная слабость или парестезия конечностей, нарушение вкусовых ощущений (металлический привкус), судороги, </w:t>
      </w:r>
      <w:proofErr w:type="spellStart"/>
      <w:r w:rsidRPr="00E16FAD">
        <w:rPr>
          <w:rFonts w:ascii="Times New Roman" w:hAnsi="Times New Roman"/>
          <w:sz w:val="28"/>
          <w:szCs w:val="28"/>
        </w:rPr>
        <w:t>менингизм</w:t>
      </w:r>
      <w:proofErr w:type="spellEnd"/>
      <w:r w:rsidRPr="00E16FAD">
        <w:rPr>
          <w:rFonts w:ascii="Times New Roman" w:hAnsi="Times New Roman"/>
          <w:sz w:val="28"/>
          <w:szCs w:val="28"/>
        </w:rPr>
        <w:t>, острый асептический менингит, паралич</w:t>
      </w:r>
    </w:p>
    <w:p w14:paraId="10A33FA8" w14:textId="1CD2EC92" w:rsidR="00F5462A" w:rsidRPr="00E16FAD" w:rsidRDefault="00F5462A" w:rsidP="00F5462A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местное повреждение (образование стерильного абсцесса, липодистрофия) места инъекции при внутримышечном или подкожном введении.</w:t>
      </w:r>
    </w:p>
    <w:p w14:paraId="134619AF" w14:textId="77777777" w:rsidR="00935208" w:rsidRPr="00E16FAD" w:rsidRDefault="00935208" w:rsidP="00295D0C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нарушение зрения, ретинопатия</w:t>
      </w:r>
    </w:p>
    <w:p w14:paraId="03540307" w14:textId="77777777" w:rsidR="00935208" w:rsidRPr="00E16FAD" w:rsidRDefault="00935208" w:rsidP="00295D0C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печеночная недостаточность</w:t>
      </w:r>
    </w:p>
    <w:p w14:paraId="4904DCB7" w14:textId="77777777" w:rsidR="00935208" w:rsidRPr="00E16FAD" w:rsidRDefault="00935208" w:rsidP="00295D0C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FAD">
        <w:rPr>
          <w:rFonts w:ascii="Times New Roman" w:hAnsi="Times New Roman"/>
          <w:sz w:val="28"/>
          <w:szCs w:val="28"/>
        </w:rPr>
        <w:t>гематемезис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E16FAD">
        <w:rPr>
          <w:rFonts w:ascii="Times New Roman" w:hAnsi="Times New Roman"/>
          <w:sz w:val="28"/>
          <w:szCs w:val="28"/>
        </w:rPr>
        <w:t>мелена</w:t>
      </w:r>
      <w:proofErr w:type="gramEnd"/>
      <w:r w:rsidRPr="00E16FAD">
        <w:rPr>
          <w:rFonts w:ascii="Times New Roman" w:hAnsi="Times New Roman"/>
          <w:sz w:val="28"/>
          <w:szCs w:val="28"/>
        </w:rPr>
        <w:t>, токсический мегаколон</w:t>
      </w:r>
    </w:p>
    <w:p w14:paraId="5A9422A9" w14:textId="77777777" w:rsidR="00935208" w:rsidRPr="00E16FAD" w:rsidRDefault="00935208" w:rsidP="00295D0C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синдром Стивена-Джонсона, токсический </w:t>
      </w:r>
      <w:proofErr w:type="spellStart"/>
      <w:r w:rsidRPr="00E16FAD">
        <w:rPr>
          <w:rFonts w:ascii="Times New Roman" w:hAnsi="Times New Roman"/>
          <w:sz w:val="28"/>
          <w:szCs w:val="28"/>
        </w:rPr>
        <w:t>эпидермальный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16FAD">
        <w:rPr>
          <w:rFonts w:ascii="Times New Roman" w:hAnsi="Times New Roman"/>
          <w:sz w:val="28"/>
          <w:szCs w:val="28"/>
        </w:rPr>
        <w:t>некролиз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(синдром </w:t>
      </w:r>
      <w:proofErr w:type="spellStart"/>
      <w:r w:rsidRPr="00E16FAD">
        <w:rPr>
          <w:rFonts w:ascii="Times New Roman" w:hAnsi="Times New Roman"/>
          <w:sz w:val="28"/>
          <w:szCs w:val="28"/>
        </w:rPr>
        <w:t>Лайелла</w:t>
      </w:r>
      <w:proofErr w:type="spellEnd"/>
      <w:r w:rsidRPr="00E16FAD">
        <w:rPr>
          <w:rFonts w:ascii="Times New Roman" w:hAnsi="Times New Roman"/>
          <w:sz w:val="28"/>
          <w:szCs w:val="28"/>
        </w:rPr>
        <w:t>), изменения пигментации ногтей, острые паронихии, фурункулез, телеангиоэктазии</w:t>
      </w:r>
    </w:p>
    <w:p w14:paraId="0002977F" w14:textId="77777777" w:rsidR="00935208" w:rsidRPr="00E16FAD" w:rsidRDefault="00935208" w:rsidP="00295D0C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потеря либидо, импотенция, гинекомастия, </w:t>
      </w:r>
      <w:proofErr w:type="spellStart"/>
      <w:r w:rsidRPr="00E16FAD">
        <w:rPr>
          <w:rFonts w:ascii="Times New Roman" w:hAnsi="Times New Roman"/>
          <w:sz w:val="28"/>
          <w:szCs w:val="28"/>
        </w:rPr>
        <w:t>олигоспермия</w:t>
      </w:r>
      <w:proofErr w:type="spellEnd"/>
      <w:r w:rsidRPr="00E16FAD">
        <w:rPr>
          <w:rFonts w:ascii="Times New Roman" w:hAnsi="Times New Roman"/>
          <w:sz w:val="28"/>
          <w:szCs w:val="28"/>
        </w:rPr>
        <w:t>, нарушения менструального цикла, вагинальные выделения</w:t>
      </w:r>
    </w:p>
    <w:p w14:paraId="7E7A9E67" w14:textId="77777777" w:rsidR="007E1A7B" w:rsidRPr="00E16FAD" w:rsidRDefault="007E1A7B" w:rsidP="00295D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16FAD">
        <w:rPr>
          <w:rFonts w:ascii="Times New Roman" w:hAnsi="Times New Roman"/>
          <w:i/>
          <w:sz w:val="28"/>
          <w:szCs w:val="28"/>
        </w:rPr>
        <w:t>Неизвестно (невозможно оценить на основании имеющихся данных)</w:t>
      </w:r>
    </w:p>
    <w:p w14:paraId="411BC942" w14:textId="77777777" w:rsidR="00935208" w:rsidRPr="00E16FAD" w:rsidRDefault="00935208" w:rsidP="00295D0C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энцефалопатия/</w:t>
      </w:r>
      <w:proofErr w:type="spellStart"/>
      <w:r w:rsidRPr="00E16FAD">
        <w:rPr>
          <w:rFonts w:ascii="Times New Roman" w:hAnsi="Times New Roman"/>
          <w:sz w:val="28"/>
          <w:szCs w:val="28"/>
        </w:rPr>
        <w:t>лейкоэнцефалопатия</w:t>
      </w:r>
      <w:proofErr w:type="spellEnd"/>
    </w:p>
    <w:p w14:paraId="6204C9B5" w14:textId="056C3882" w:rsidR="00935208" w:rsidRPr="00E16FAD" w:rsidRDefault="00935208" w:rsidP="00295D0C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носовое кровотечение, легочное альвеолярное кровотечение</w:t>
      </w:r>
    </w:p>
    <w:p w14:paraId="23C08A00" w14:textId="625C372A" w:rsidR="001141DC" w:rsidRPr="00E16FAD" w:rsidRDefault="001141DC" w:rsidP="00295D0C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отшелушивание кожи / отшелушивающий дерматит</w:t>
      </w:r>
    </w:p>
    <w:p w14:paraId="1D76FCF6" w14:textId="69862E27" w:rsidR="001141DC" w:rsidRPr="00E16FAD" w:rsidRDefault="001141DC" w:rsidP="00295D0C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FAD">
        <w:rPr>
          <w:rFonts w:ascii="Times New Roman" w:hAnsi="Times New Roman"/>
          <w:sz w:val="28"/>
          <w:szCs w:val="28"/>
        </w:rPr>
        <w:t>эозинофилия</w:t>
      </w:r>
      <w:proofErr w:type="spellEnd"/>
    </w:p>
    <w:p w14:paraId="6CBB11B2" w14:textId="77777777" w:rsidR="00935208" w:rsidRPr="00E16FAD" w:rsidRDefault="00935208" w:rsidP="00295D0C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>протеинурия</w:t>
      </w:r>
    </w:p>
    <w:p w14:paraId="5FA2DDE9" w14:textId="52663103" w:rsidR="00935208" w:rsidRPr="00E16FAD" w:rsidRDefault="00935208" w:rsidP="00295D0C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12" w:name="_Hlk55547128"/>
      <w:r w:rsidRPr="00E16FAD">
        <w:rPr>
          <w:rFonts w:ascii="Times New Roman" w:hAnsi="Times New Roman"/>
          <w:sz w:val="28"/>
          <w:szCs w:val="28"/>
        </w:rPr>
        <w:t>астения, некроз места инъекции</w:t>
      </w:r>
      <w:r w:rsidR="001141DC" w:rsidRPr="00E16FAD">
        <w:rPr>
          <w:rFonts w:ascii="Times New Roman" w:hAnsi="Times New Roman"/>
          <w:sz w:val="28"/>
          <w:szCs w:val="28"/>
        </w:rPr>
        <w:t>, отек</w:t>
      </w:r>
    </w:p>
    <w:bookmarkEnd w:id="12"/>
    <w:p w14:paraId="0628246A" w14:textId="77777777" w:rsidR="005C4B12" w:rsidRPr="00E16FAD" w:rsidRDefault="00935208" w:rsidP="00295D0C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FAD">
        <w:rPr>
          <w:rFonts w:ascii="Times New Roman" w:hAnsi="Times New Roman"/>
          <w:sz w:val="28"/>
          <w:szCs w:val="28"/>
        </w:rPr>
        <w:lastRenderedPageBreak/>
        <w:t>остеонекроз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челюсти (</w:t>
      </w:r>
      <w:proofErr w:type="gramStart"/>
      <w:r w:rsidRPr="00E16FAD">
        <w:rPr>
          <w:rFonts w:ascii="Times New Roman" w:hAnsi="Times New Roman"/>
          <w:sz w:val="28"/>
          <w:szCs w:val="28"/>
        </w:rPr>
        <w:t>вторичный</w:t>
      </w:r>
      <w:proofErr w:type="gramEnd"/>
      <w:r w:rsidRPr="00E16FAD">
        <w:rPr>
          <w:rFonts w:ascii="Times New Roman" w:hAnsi="Times New Roman"/>
          <w:sz w:val="28"/>
          <w:szCs w:val="28"/>
        </w:rPr>
        <w:t xml:space="preserve"> по отношению к </w:t>
      </w:r>
      <w:proofErr w:type="spellStart"/>
      <w:r w:rsidRPr="00E16FAD">
        <w:rPr>
          <w:rFonts w:ascii="Times New Roman" w:hAnsi="Times New Roman"/>
          <w:sz w:val="28"/>
          <w:szCs w:val="28"/>
        </w:rPr>
        <w:t>лимфопролиферативным</w:t>
      </w:r>
      <w:proofErr w:type="spellEnd"/>
      <w:r w:rsidRPr="00E16FAD">
        <w:rPr>
          <w:rFonts w:ascii="Times New Roman" w:hAnsi="Times New Roman"/>
          <w:sz w:val="28"/>
          <w:szCs w:val="28"/>
        </w:rPr>
        <w:t xml:space="preserve"> нарушениям)</w:t>
      </w:r>
    </w:p>
    <w:p w14:paraId="4D09B825" w14:textId="77777777" w:rsidR="007E1A7B" w:rsidRPr="00E16FAD" w:rsidRDefault="007E1A7B" w:rsidP="00295D0C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EA3D12" w14:textId="77777777" w:rsidR="00827BB2" w:rsidRPr="00E16FAD" w:rsidRDefault="00827BB2" w:rsidP="00295D0C">
      <w:pPr>
        <w:pStyle w:val="ac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16FAD">
        <w:rPr>
          <w:rFonts w:ascii="Times New Roman" w:hAnsi="Times New Roman"/>
          <w:b/>
          <w:color w:val="000000"/>
          <w:sz w:val="28"/>
          <w:szCs w:val="28"/>
        </w:rPr>
        <w:t>П</w:t>
      </w:r>
      <w:r w:rsidR="00D93C80" w:rsidRPr="00E16FAD">
        <w:rPr>
          <w:rFonts w:ascii="Times New Roman" w:hAnsi="Times New Roman"/>
          <w:b/>
          <w:color w:val="000000"/>
          <w:sz w:val="28"/>
          <w:szCs w:val="28"/>
        </w:rPr>
        <w:t xml:space="preserve">ри возникновении </w:t>
      </w:r>
      <w:r w:rsidR="006703A5" w:rsidRPr="00E16FAD">
        <w:rPr>
          <w:rFonts w:ascii="Times New Roman" w:hAnsi="Times New Roman"/>
          <w:b/>
          <w:color w:val="000000"/>
          <w:sz w:val="28"/>
          <w:szCs w:val="28"/>
        </w:rPr>
        <w:t>нежелательных</w:t>
      </w:r>
      <w:r w:rsidR="00D93C80" w:rsidRPr="00E16FAD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E16F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3E35A3D8" w14:textId="3E8E8093" w:rsidR="006703A5" w:rsidRPr="00E16FAD" w:rsidRDefault="006703A5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</w:t>
      </w:r>
      <w:r w:rsidR="005779DE" w:rsidRPr="00E16FAD">
        <w:rPr>
          <w:rFonts w:ascii="Times New Roman" w:hAnsi="Times New Roman"/>
          <w:sz w:val="28"/>
          <w:szCs w:val="28"/>
        </w:rPr>
        <w:t>Комитет</w:t>
      </w:r>
      <w:r w:rsidR="0089621F" w:rsidRPr="00E16FAD">
        <w:rPr>
          <w:rFonts w:ascii="Times New Roman" w:hAnsi="Times New Roman"/>
          <w:sz w:val="28"/>
          <w:szCs w:val="28"/>
        </w:rPr>
        <w:t>а</w:t>
      </w:r>
      <w:r w:rsidR="004E46C1" w:rsidRPr="00E16FAD">
        <w:rPr>
          <w:rFonts w:ascii="Times New Roman" w:hAnsi="Times New Roman"/>
          <w:sz w:val="28"/>
          <w:szCs w:val="28"/>
        </w:rPr>
        <w:t xml:space="preserve"> медицинского и фармацевтического </w:t>
      </w:r>
      <w:r w:rsidR="005779DE" w:rsidRPr="00E16FAD">
        <w:rPr>
          <w:rFonts w:ascii="Times New Roman" w:hAnsi="Times New Roman"/>
          <w:sz w:val="28"/>
          <w:szCs w:val="28"/>
        </w:rPr>
        <w:t xml:space="preserve">контроля </w:t>
      </w:r>
      <w:r w:rsidRPr="00E16FAD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14:paraId="2ADB7A2D" w14:textId="77777777" w:rsidR="006703A5" w:rsidRPr="00E16FAD" w:rsidRDefault="00F26076" w:rsidP="00295D0C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6703A5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6703A5" w:rsidRPr="00E16FAD">
          <w:rPr>
            <w:rStyle w:val="af"/>
            <w:rFonts w:ascii="Times New Roman" w:hAnsi="Times New Roman"/>
            <w:sz w:val="28"/>
            <w:szCs w:val="28"/>
          </w:rPr>
          <w:t>://</w:t>
        </w:r>
        <w:r w:rsidR="006703A5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6703A5" w:rsidRPr="00E16FAD">
          <w:rPr>
            <w:rStyle w:val="af"/>
            <w:rFonts w:ascii="Times New Roman" w:hAnsi="Times New Roman"/>
            <w:sz w:val="28"/>
            <w:szCs w:val="28"/>
          </w:rPr>
          <w:t>.</w:t>
        </w:r>
        <w:r w:rsidR="006703A5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r w:rsidR="006703A5" w:rsidRPr="00E16FAD">
          <w:rPr>
            <w:rStyle w:val="af"/>
            <w:rFonts w:ascii="Times New Roman" w:hAnsi="Times New Roman"/>
            <w:sz w:val="28"/>
            <w:szCs w:val="28"/>
          </w:rPr>
          <w:t>.</w:t>
        </w:r>
        <w:r w:rsidR="006703A5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14:paraId="40EAC89E" w14:textId="77777777" w:rsidR="006703A5" w:rsidRPr="00E16FAD" w:rsidRDefault="006703A5" w:rsidP="00295D0C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A1F3F0D" w14:textId="77777777" w:rsidR="000C2C4B" w:rsidRPr="00E16FAD" w:rsidRDefault="000C2C4B" w:rsidP="00295D0C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6BC28D8B" w14:textId="77777777" w:rsidR="006B7A90" w:rsidRPr="00E16FAD" w:rsidRDefault="00844CE8" w:rsidP="00295D0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13" w:name="2175220285"/>
      <w:r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21BCF3B3" w14:textId="77777777" w:rsidR="006B7A90" w:rsidRPr="00E16FAD" w:rsidRDefault="005C0830" w:rsidP="00295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4" w:name="2175220286"/>
      <w:bookmarkEnd w:id="13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1 мл препарата содержит</w:t>
      </w:r>
    </w:p>
    <w:p w14:paraId="68DDEA93" w14:textId="77777777" w:rsidR="006B7A90" w:rsidRPr="00E16FAD" w:rsidRDefault="00844CE8" w:rsidP="00295D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активное вещество </w:t>
      </w:r>
      <w:r w:rsidR="00A74001" w:rsidRPr="00E16FA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–</w:t>
      </w:r>
      <w:r w:rsidRPr="00E16FAD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="005C0830"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метотрексат</w:t>
      </w:r>
      <w:proofErr w:type="gramStart"/>
      <w:r w:rsidR="00A74001" w:rsidRPr="00E16FAD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1</w:t>
      </w:r>
      <w:proofErr w:type="gramEnd"/>
      <w:r w:rsidR="005C0830"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50 мг </w:t>
      </w:r>
    </w:p>
    <w:p w14:paraId="247CED5C" w14:textId="77777777" w:rsidR="005C0830" w:rsidRPr="00E16FAD" w:rsidRDefault="006B7A90" w:rsidP="00295D0C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</w:rPr>
      </w:pPr>
      <w:r w:rsidRPr="00E16FAD">
        <w:rPr>
          <w:rFonts w:ascii="Times New Roman" w:hAnsi="Times New Roman"/>
          <w:i/>
          <w:iCs/>
          <w:sz w:val="28"/>
          <w:szCs w:val="28"/>
        </w:rPr>
        <w:t xml:space="preserve">вспомогательные вещества: </w:t>
      </w:r>
      <w:r w:rsidR="005C0830" w:rsidRPr="00E16FAD">
        <w:rPr>
          <w:rFonts w:ascii="Times New Roman" w:hAnsi="Times New Roman"/>
          <w:iCs/>
          <w:spacing w:val="-2"/>
          <w:sz w:val="28"/>
          <w:szCs w:val="28"/>
        </w:rPr>
        <w:t>натрия гидроксид</w:t>
      </w:r>
      <w:proofErr w:type="gramStart"/>
      <w:r w:rsidR="00A74001" w:rsidRPr="00E16FAD">
        <w:rPr>
          <w:rFonts w:ascii="Times New Roman" w:hAnsi="Times New Roman"/>
          <w:iCs/>
          <w:spacing w:val="-2"/>
          <w:sz w:val="28"/>
          <w:szCs w:val="28"/>
          <w:vertAlign w:val="superscript"/>
        </w:rPr>
        <w:t>2</w:t>
      </w:r>
      <w:proofErr w:type="gramEnd"/>
      <w:r w:rsidR="005C0830" w:rsidRPr="00E16FAD">
        <w:rPr>
          <w:rFonts w:ascii="Times New Roman" w:hAnsi="Times New Roman"/>
          <w:iCs/>
          <w:spacing w:val="-2"/>
          <w:sz w:val="28"/>
          <w:szCs w:val="28"/>
        </w:rPr>
        <w:t xml:space="preserve">, натрия хлорид, вода для </w:t>
      </w:r>
    </w:p>
    <w:p w14:paraId="67AAA1BC" w14:textId="77777777" w:rsidR="005C0830" w:rsidRPr="00E16FAD" w:rsidRDefault="005C0830" w:rsidP="00295D0C">
      <w:pPr>
        <w:spacing w:after="0" w:line="240" w:lineRule="auto"/>
        <w:jc w:val="both"/>
        <w:rPr>
          <w:rFonts w:ascii="Times New Roman" w:hAnsi="Times New Roman"/>
          <w:iCs/>
          <w:spacing w:val="-2"/>
          <w:sz w:val="28"/>
          <w:szCs w:val="28"/>
          <w:vertAlign w:val="superscript"/>
        </w:rPr>
      </w:pPr>
      <w:r w:rsidRPr="00E16FAD">
        <w:rPr>
          <w:rFonts w:ascii="Times New Roman" w:hAnsi="Times New Roman"/>
          <w:iCs/>
          <w:spacing w:val="-2"/>
          <w:sz w:val="28"/>
          <w:szCs w:val="28"/>
        </w:rPr>
        <w:t>инъекций</w:t>
      </w:r>
      <w:r w:rsidR="00A74001" w:rsidRPr="00E16FAD">
        <w:rPr>
          <w:rFonts w:ascii="Times New Roman" w:hAnsi="Times New Roman"/>
          <w:iCs/>
          <w:spacing w:val="-2"/>
          <w:sz w:val="28"/>
          <w:szCs w:val="28"/>
          <w:vertAlign w:val="superscript"/>
        </w:rPr>
        <w:t>3</w:t>
      </w:r>
    </w:p>
    <w:p w14:paraId="180B95CC" w14:textId="74849CA7" w:rsidR="00A74001" w:rsidRPr="00E16FAD" w:rsidRDefault="00A74001" w:rsidP="00295D0C">
      <w:pPr>
        <w:shd w:val="clear" w:color="auto" w:fill="FFFFFF"/>
        <w:tabs>
          <w:tab w:val="left" w:pos="43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FAD">
        <w:rPr>
          <w:rFonts w:ascii="Times New Roman" w:hAnsi="Times New Roman"/>
          <w:sz w:val="24"/>
          <w:szCs w:val="24"/>
          <w:vertAlign w:val="superscript"/>
        </w:rPr>
        <w:t>1</w:t>
      </w:r>
      <w:r w:rsidRPr="00E16FAD">
        <w:rPr>
          <w:rFonts w:ascii="Times New Roman" w:hAnsi="Times New Roman"/>
          <w:sz w:val="24"/>
          <w:szCs w:val="24"/>
        </w:rPr>
        <w:t xml:space="preserve"> Ко</w:t>
      </w:r>
      <w:r w:rsidR="00041028" w:rsidRPr="00E16FAD">
        <w:rPr>
          <w:rFonts w:ascii="Times New Roman" w:hAnsi="Times New Roman"/>
          <w:sz w:val="24"/>
          <w:szCs w:val="24"/>
        </w:rPr>
        <w:t>личество указано из расчета 100</w:t>
      </w:r>
      <w:r w:rsidRPr="00E16FAD">
        <w:rPr>
          <w:rFonts w:ascii="Times New Roman" w:hAnsi="Times New Roman"/>
          <w:sz w:val="24"/>
          <w:szCs w:val="24"/>
        </w:rPr>
        <w:t xml:space="preserve">% вещества, корректировку следует проводить с учетом фактического </w:t>
      </w:r>
      <w:bookmarkStart w:id="15" w:name="_GoBack"/>
      <w:bookmarkEnd w:id="15"/>
      <w:r w:rsidRPr="00E16FAD">
        <w:rPr>
          <w:rFonts w:ascii="Times New Roman" w:hAnsi="Times New Roman"/>
          <w:sz w:val="24"/>
          <w:szCs w:val="24"/>
        </w:rPr>
        <w:t>содержания вещества</w:t>
      </w:r>
    </w:p>
    <w:p w14:paraId="0F7E6730" w14:textId="63696F8D" w:rsidR="00A74001" w:rsidRPr="00E16FAD" w:rsidRDefault="00A74001" w:rsidP="00295D0C">
      <w:pPr>
        <w:shd w:val="clear" w:color="auto" w:fill="FFFFFF"/>
        <w:tabs>
          <w:tab w:val="left" w:pos="43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FAD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="00041028" w:rsidRPr="00E16FAD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="00041028" w:rsidRPr="00E16FAD">
        <w:rPr>
          <w:rFonts w:ascii="Times New Roman" w:hAnsi="Times New Roman"/>
          <w:sz w:val="24"/>
          <w:szCs w:val="24"/>
        </w:rPr>
        <w:t>спользуют 10</w:t>
      </w:r>
      <w:r w:rsidRPr="00E16FAD">
        <w:rPr>
          <w:rFonts w:ascii="Times New Roman" w:hAnsi="Times New Roman"/>
          <w:sz w:val="24"/>
          <w:szCs w:val="24"/>
        </w:rPr>
        <w:t xml:space="preserve">% раствор в воде для инъекций для </w:t>
      </w:r>
      <w:proofErr w:type="spellStart"/>
      <w:r w:rsidRPr="00E16FAD">
        <w:rPr>
          <w:rFonts w:ascii="Times New Roman" w:hAnsi="Times New Roman"/>
          <w:sz w:val="24"/>
          <w:szCs w:val="24"/>
        </w:rPr>
        <w:t>солюбилизации</w:t>
      </w:r>
      <w:proofErr w:type="spellEnd"/>
      <w:r w:rsidRPr="00E16F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6FAD">
        <w:rPr>
          <w:rFonts w:ascii="Times New Roman" w:hAnsi="Times New Roman"/>
          <w:sz w:val="24"/>
          <w:szCs w:val="24"/>
        </w:rPr>
        <w:t>метотрексата</w:t>
      </w:r>
      <w:proofErr w:type="spellEnd"/>
      <w:r w:rsidRPr="00E16FAD">
        <w:rPr>
          <w:rFonts w:ascii="Times New Roman" w:hAnsi="Times New Roman"/>
          <w:sz w:val="24"/>
          <w:szCs w:val="24"/>
        </w:rPr>
        <w:t xml:space="preserve"> и регулирования значения pH (от 7.0 до 9.0)</w:t>
      </w:r>
    </w:p>
    <w:p w14:paraId="7F495920" w14:textId="77777777" w:rsidR="00A74001" w:rsidRPr="00E16FAD" w:rsidRDefault="00A74001" w:rsidP="00295D0C">
      <w:pPr>
        <w:shd w:val="clear" w:color="auto" w:fill="FFFFFF"/>
        <w:tabs>
          <w:tab w:val="left" w:pos="43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6FAD">
        <w:rPr>
          <w:rFonts w:ascii="Times New Roman" w:hAnsi="Times New Roman"/>
          <w:sz w:val="24"/>
          <w:szCs w:val="24"/>
          <w:vertAlign w:val="superscript"/>
        </w:rPr>
        <w:t>3</w:t>
      </w:r>
      <w:r w:rsidRPr="00E16FAD">
        <w:rPr>
          <w:rFonts w:ascii="Times New Roman" w:hAnsi="Times New Roman"/>
          <w:sz w:val="24"/>
          <w:szCs w:val="24"/>
        </w:rPr>
        <w:t xml:space="preserve"> Масса препарата на мл раствора = 1.02 г/мл при температуре 25 °C</w:t>
      </w:r>
    </w:p>
    <w:p w14:paraId="3BED25C6" w14:textId="77777777" w:rsidR="006B7A90" w:rsidRPr="00E16FAD" w:rsidRDefault="006B7A90" w:rsidP="00295D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14"/>
    <w:p w14:paraId="049603FC" w14:textId="21FD4188" w:rsidR="005C0830" w:rsidRPr="00E16FAD" w:rsidRDefault="005C0830" w:rsidP="00295D0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Прозрачный </w:t>
      </w:r>
      <w:r w:rsidR="008817ED" w:rsidRPr="00E16FA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раствор </w:t>
      </w:r>
      <w:proofErr w:type="gramStart"/>
      <w:r w:rsidR="008817ED" w:rsidRPr="00E16FAD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8817ED" w:rsidRPr="00E16FAD">
        <w:rPr>
          <w:rFonts w:ascii="Times New Roman" w:eastAsia="Times New Roman" w:hAnsi="Times New Roman"/>
          <w:sz w:val="28"/>
          <w:szCs w:val="28"/>
          <w:lang w:eastAsia="ru-RU"/>
        </w:rPr>
        <w:t xml:space="preserve"> желтог</w:t>
      </w: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817ED" w:rsidRPr="00E16FAD">
        <w:rPr>
          <w:rFonts w:ascii="Times New Roman" w:eastAsia="Times New Roman" w:hAnsi="Times New Roman"/>
          <w:sz w:val="28"/>
          <w:szCs w:val="28"/>
          <w:lang w:eastAsia="ru-RU"/>
        </w:rPr>
        <w:t xml:space="preserve"> до </w:t>
      </w: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коричне</w:t>
      </w:r>
      <w:r w:rsidR="008817ED" w:rsidRPr="00E16FAD">
        <w:rPr>
          <w:rFonts w:ascii="Times New Roman" w:eastAsia="Times New Roman" w:hAnsi="Times New Roman"/>
          <w:sz w:val="28"/>
          <w:szCs w:val="28"/>
          <w:lang w:eastAsia="ru-RU"/>
        </w:rPr>
        <w:t>вого цвета, практически без видимых частиц.</w:t>
      </w:r>
    </w:p>
    <w:p w14:paraId="4B79FD75" w14:textId="77777777" w:rsidR="008817ED" w:rsidRPr="00E16FAD" w:rsidRDefault="008817ED" w:rsidP="00295D0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239705" w14:textId="77777777" w:rsidR="00C9308C" w:rsidRPr="00E16FAD" w:rsidRDefault="00C9308C" w:rsidP="00295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6" w:name="2175220287"/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 и упаковка</w:t>
      </w:r>
    </w:p>
    <w:p w14:paraId="12653E56" w14:textId="77777777" w:rsidR="006432FA" w:rsidRPr="00E16FAD" w:rsidRDefault="006432FA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7" w:name="_Hlk57380553"/>
      <w:proofErr w:type="gramStart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По 0.15 мл (7.5 мг), 0.20 мл (10 мг), 0.25 мл (12.5 мг), 0.30 мл (15 мг), 0.35 мл (17.5 мг), 0.40 мл (20 мг), 0.45 мл (22.5 мг), 0.50 мл (25 мг), 0.55 мл (27.5 мг) и 0.60 мл (30 мг) препарата помещают в предварительно заполненный шприц вместимостью 1 мл, состоящий из цилиндра из бесцветного боросиликатного нейтрального стекла (тип</w:t>
      </w:r>
      <w:proofErr w:type="gramEnd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I) с фиксированной иглой, резинового плунжера и защитного колпачка для иглы. На шприц наклеивают бумажную самоклеящуюся этикетку.</w:t>
      </w:r>
    </w:p>
    <w:p w14:paraId="51152077" w14:textId="77777777" w:rsidR="006A4500" w:rsidRPr="00E16FAD" w:rsidRDefault="006A4500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По 1 предварительно заполненному шприцу помещают в контурную ячейковую упаковку из пленки ПВХ и бумаги или фольги алюминиевой.</w:t>
      </w:r>
    </w:p>
    <w:p w14:paraId="328B4A0D" w14:textId="18ECA7FA" w:rsidR="00167255" w:rsidRPr="00E16FAD" w:rsidRDefault="006432FA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По 1</w:t>
      </w:r>
      <w:r w:rsidR="006A4500"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4</w:t>
      </w: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контурн</w:t>
      </w:r>
      <w:r w:rsidR="006A4500"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ых</w:t>
      </w: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упаков</w:t>
      </w:r>
      <w:r w:rsidR="006A4500"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ок</w:t>
      </w: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вместе с инструкцией по медицинскому применению на казахском и русском языках помещают в картонную коробку.</w:t>
      </w:r>
    </w:p>
    <w:p w14:paraId="49F4D838" w14:textId="478F0D98" w:rsidR="00FD62A9" w:rsidRPr="00E16FAD" w:rsidRDefault="00FD62A9" w:rsidP="00295D0C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коробку с 4 контурными упаковками наклеивают </w:t>
      </w:r>
      <w:proofErr w:type="gramStart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>прозрачный</w:t>
      </w:r>
      <w:proofErr w:type="gramEnd"/>
      <w:r w:rsidRPr="00E16FA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стикер для контроля первого вскрытия.</w:t>
      </w:r>
    </w:p>
    <w:bookmarkEnd w:id="17"/>
    <w:p w14:paraId="24A49FE1" w14:textId="77777777" w:rsidR="006432FA" w:rsidRPr="00E16FAD" w:rsidRDefault="006432FA" w:rsidP="00295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A963555" w14:textId="77777777" w:rsidR="00844CE8" w:rsidRPr="00E16FAD" w:rsidRDefault="00844CE8" w:rsidP="00295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4F88D95E" w14:textId="77777777" w:rsidR="00D14D61" w:rsidRPr="00E16FAD" w:rsidRDefault="005C0830" w:rsidP="00295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 года</w:t>
      </w:r>
    </w:p>
    <w:p w14:paraId="5007BCAB" w14:textId="77777777" w:rsidR="000E01AB" w:rsidRPr="00E16FAD" w:rsidRDefault="00D14D61" w:rsidP="00295D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E16FAD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E16FAD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Pr="00E16FAD"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14:paraId="53DDDDF0" w14:textId="77777777" w:rsidR="000E01AB" w:rsidRPr="00E16FAD" w:rsidRDefault="00D14D61" w:rsidP="00295D0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18" w:name="2175220288"/>
      <w:bookmarkEnd w:id="16"/>
      <w:r w:rsidRPr="00E16FA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019816A9" w14:textId="77777777" w:rsidR="006A4500" w:rsidRPr="00E16FAD" w:rsidRDefault="006A4500" w:rsidP="00295D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Хранить в оригинальной упаковке при температуре не выше 30 °С </w:t>
      </w:r>
    </w:p>
    <w:p w14:paraId="42A9F609" w14:textId="77777777" w:rsidR="00D14D61" w:rsidRPr="00E16FAD" w:rsidRDefault="00D14D61" w:rsidP="00295D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9" w:name="2175220289"/>
      <w:bookmarkEnd w:id="18"/>
    </w:p>
    <w:bookmarkEnd w:id="19"/>
    <w:p w14:paraId="0D508A4B" w14:textId="77777777" w:rsidR="006B7A90" w:rsidRPr="00E16FAD" w:rsidRDefault="006B7A90" w:rsidP="00295D0C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D62813" w14:textId="77777777" w:rsidR="00D34C3B" w:rsidRPr="00E16FAD" w:rsidRDefault="006C6558" w:rsidP="00295D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FAD">
        <w:rPr>
          <w:rFonts w:ascii="Times New Roman" w:hAnsi="Times New Roman"/>
          <w:b/>
          <w:color w:val="000000"/>
          <w:sz w:val="28"/>
          <w:szCs w:val="28"/>
        </w:rPr>
        <w:t>Условия отпуска из аптек</w:t>
      </w:r>
    </w:p>
    <w:p w14:paraId="63CC5005" w14:textId="77777777" w:rsidR="006C6558" w:rsidRPr="00E16FAD" w:rsidRDefault="00D34C3B" w:rsidP="00295D0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>П</w:t>
      </w:r>
      <w:r w:rsidR="006C6558" w:rsidRPr="00E16FAD">
        <w:rPr>
          <w:rFonts w:ascii="Times New Roman" w:hAnsi="Times New Roman"/>
          <w:color w:val="000000"/>
          <w:sz w:val="28"/>
          <w:szCs w:val="28"/>
        </w:rPr>
        <w:t>о рецепту</w:t>
      </w:r>
    </w:p>
    <w:p w14:paraId="3026B7F8" w14:textId="77777777" w:rsidR="006C6558" w:rsidRPr="00E16FAD" w:rsidRDefault="006C6558" w:rsidP="00295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6C6B00" w14:textId="77777777" w:rsidR="006B7A90" w:rsidRPr="00E16FAD" w:rsidRDefault="007C1693" w:rsidP="00295D0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5251CAE5" w14:textId="341587B0" w:rsidR="008031B2" w:rsidRPr="00E16FAD" w:rsidRDefault="008031B2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_Hlk69728199"/>
      <w:r w:rsidRPr="00E16FAD">
        <w:rPr>
          <w:rFonts w:ascii="Times New Roman" w:hAnsi="Times New Roman"/>
          <w:color w:val="000000"/>
          <w:sz w:val="28"/>
          <w:szCs w:val="28"/>
        </w:rPr>
        <w:t>On</w:t>
      </w:r>
      <w:r w:rsidR="00DE2F3B" w:rsidRPr="00E16FAD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E16FAD">
        <w:rPr>
          <w:rFonts w:ascii="Times New Roman" w:hAnsi="Times New Roman"/>
          <w:color w:val="000000"/>
          <w:sz w:val="28"/>
          <w:szCs w:val="28"/>
        </w:rPr>
        <w:t xml:space="preserve">o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Ilac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San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Ve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Tic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>. A.S.</w:t>
      </w:r>
    </w:p>
    <w:p w14:paraId="26E1A29D" w14:textId="77777777" w:rsidR="006A4500" w:rsidRPr="00E16FAD" w:rsidRDefault="00E61F77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Gebze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Organize</w:t>
      </w:r>
      <w:r w:rsidRPr="00E16F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Sanayi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Bolgesi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, 1700 </w:t>
      </w:r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Sokak</w:t>
      </w:r>
      <w:r w:rsidRPr="00E16FA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NO</w:t>
      </w:r>
      <w:r w:rsidRPr="00E16FA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E16FAD">
        <w:rPr>
          <w:rFonts w:ascii="Times New Roman" w:hAnsi="Times New Roman"/>
          <w:color w:val="000000"/>
          <w:sz w:val="28"/>
          <w:szCs w:val="28"/>
        </w:rPr>
        <w:t xml:space="preserve"> 703,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Gebze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>/-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</w:rPr>
        <w:t>Kocaeli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>, Турция</w:t>
      </w:r>
      <w:r w:rsidRPr="00E16FAD">
        <w:rPr>
          <w:rFonts w:ascii="Times New Roman" w:hAnsi="Times New Roman"/>
          <w:color w:val="000000"/>
          <w:sz w:val="28"/>
          <w:szCs w:val="28"/>
        </w:rPr>
        <w:cr/>
        <w:t>телефон</w:t>
      </w:r>
      <w:r w:rsidR="006A4500" w:rsidRPr="00E16FAD">
        <w:rPr>
          <w:rFonts w:ascii="Times New Roman" w:hAnsi="Times New Roman"/>
          <w:color w:val="000000"/>
          <w:sz w:val="28"/>
          <w:szCs w:val="28"/>
        </w:rPr>
        <w:t>/факс</w:t>
      </w:r>
      <w:r w:rsidRPr="00E16FAD">
        <w:rPr>
          <w:rFonts w:ascii="Times New Roman" w:hAnsi="Times New Roman"/>
          <w:color w:val="000000"/>
          <w:sz w:val="28"/>
          <w:szCs w:val="28"/>
        </w:rPr>
        <w:t>:</w:t>
      </w:r>
      <w:r w:rsidR="006A4500" w:rsidRPr="00E16FAD">
        <w:rPr>
          <w:rFonts w:ascii="Times New Roman" w:hAnsi="Times New Roman"/>
          <w:color w:val="000000"/>
          <w:sz w:val="28"/>
          <w:szCs w:val="28"/>
        </w:rPr>
        <w:t xml:space="preserve"> +90 850 250 66 56</w:t>
      </w:r>
    </w:p>
    <w:p w14:paraId="39281855" w14:textId="77777777" w:rsidR="006A4500" w:rsidRPr="00E16FAD" w:rsidRDefault="00E61F77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электронная почта: </w:t>
      </w:r>
      <w:hyperlink r:id="rId10" w:history="1">
        <w:r w:rsidR="006A4500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info</w:t>
        </w:r>
        <w:r w:rsidR="006A4500" w:rsidRPr="00E16FAD">
          <w:rPr>
            <w:rStyle w:val="af"/>
            <w:rFonts w:ascii="Times New Roman" w:hAnsi="Times New Roman"/>
            <w:sz w:val="28"/>
            <w:szCs w:val="28"/>
          </w:rPr>
          <w:t>@</w:t>
        </w:r>
        <w:proofErr w:type="spellStart"/>
        <w:r w:rsidR="006A4500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onkokocsel</w:t>
        </w:r>
        <w:proofErr w:type="spellEnd"/>
        <w:r w:rsidR="006A4500" w:rsidRPr="00E16FAD">
          <w:rPr>
            <w:rStyle w:val="af"/>
            <w:rFonts w:ascii="Times New Roman" w:hAnsi="Times New Roman"/>
            <w:sz w:val="28"/>
            <w:szCs w:val="28"/>
          </w:rPr>
          <w:t>.</w:t>
        </w:r>
        <w:r w:rsidR="006A4500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com</w:t>
        </w:r>
      </w:hyperlink>
    </w:p>
    <w:bookmarkEnd w:id="20"/>
    <w:p w14:paraId="523A50AA" w14:textId="77777777" w:rsidR="006A4500" w:rsidRPr="00E16FAD" w:rsidRDefault="006A4500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357728" w14:textId="77777777" w:rsidR="00D76048" w:rsidRPr="00E16FAD" w:rsidRDefault="005A3C81" w:rsidP="00295D0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16FA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E16F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7828F47F" w14:textId="77777777" w:rsidR="006A4500" w:rsidRPr="00E16FAD" w:rsidRDefault="006A4500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proofErr w:type="gramStart"/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 xml:space="preserve">Accord Healthcare Polska Sp. z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o.o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.</w:t>
      </w:r>
      <w:proofErr w:type="gramEnd"/>
    </w:p>
    <w:p w14:paraId="5638AA77" w14:textId="77777777" w:rsidR="008031B2" w:rsidRPr="00E16FAD" w:rsidRDefault="006A4500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 xml:space="preserve">7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Tasmowa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st</w:t>
      </w:r>
      <w:proofErr w:type="spellEnd"/>
      <w:r w:rsidRPr="00E16FAD">
        <w:rPr>
          <w:rFonts w:ascii="Times New Roman" w:hAnsi="Times New Roman"/>
          <w:color w:val="000000"/>
          <w:sz w:val="28"/>
          <w:szCs w:val="28"/>
        </w:rPr>
        <w:t xml:space="preserve">., </w:t>
      </w:r>
      <w:r w:rsidRPr="00E16FAD">
        <w:rPr>
          <w:rFonts w:ascii="Times New Roman" w:hAnsi="Times New Roman"/>
          <w:color w:val="000000"/>
          <w:sz w:val="28"/>
          <w:szCs w:val="28"/>
          <w:lang w:val="en-US"/>
        </w:rPr>
        <w:t>Warsaw</w:t>
      </w:r>
      <w:r w:rsidRPr="00E16FAD">
        <w:rPr>
          <w:rFonts w:ascii="Times New Roman" w:hAnsi="Times New Roman"/>
          <w:color w:val="000000"/>
          <w:sz w:val="28"/>
          <w:szCs w:val="28"/>
        </w:rPr>
        <w:t>, 02-677, Польша</w:t>
      </w:r>
    </w:p>
    <w:p w14:paraId="56F07AA9" w14:textId="77777777" w:rsidR="006A4500" w:rsidRPr="00E16FAD" w:rsidRDefault="00844CE8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>телефон</w:t>
      </w:r>
      <w:r w:rsidR="006A4500" w:rsidRPr="00E16FAD">
        <w:rPr>
          <w:rFonts w:ascii="Times New Roman" w:hAnsi="Times New Roman"/>
          <w:color w:val="000000"/>
          <w:sz w:val="28"/>
          <w:szCs w:val="28"/>
        </w:rPr>
        <w:t>/факс</w:t>
      </w:r>
      <w:r w:rsidR="00E61F77" w:rsidRPr="00E16FAD">
        <w:rPr>
          <w:rFonts w:ascii="Times New Roman" w:hAnsi="Times New Roman"/>
          <w:color w:val="000000"/>
          <w:sz w:val="28"/>
          <w:szCs w:val="28"/>
        </w:rPr>
        <w:t>:</w:t>
      </w:r>
      <w:r w:rsidR="006A4500" w:rsidRPr="00E16FAD">
        <w:rPr>
          <w:rFonts w:ascii="Times New Roman" w:hAnsi="Times New Roman"/>
          <w:color w:val="000000"/>
          <w:sz w:val="28"/>
          <w:szCs w:val="28"/>
        </w:rPr>
        <w:t xml:space="preserve"> +48 22 577 28 00 </w:t>
      </w:r>
    </w:p>
    <w:p w14:paraId="629E80A8" w14:textId="77777777" w:rsidR="00844CE8" w:rsidRPr="00E16FAD" w:rsidRDefault="00844CE8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16FAD">
        <w:rPr>
          <w:rFonts w:ascii="Times New Roman" w:hAnsi="Times New Roman"/>
          <w:color w:val="000000"/>
          <w:sz w:val="28"/>
          <w:szCs w:val="28"/>
        </w:rPr>
        <w:t>электронная почта</w:t>
      </w:r>
      <w:r w:rsidR="00E61F77" w:rsidRPr="00E16FAD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1" w:history="1">
        <w:r w:rsidR="006A4500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ra</w:t>
        </w:r>
        <w:r w:rsidR="006A4500" w:rsidRPr="00E16FAD">
          <w:rPr>
            <w:rStyle w:val="af"/>
            <w:rFonts w:ascii="Times New Roman" w:hAnsi="Times New Roman"/>
            <w:sz w:val="28"/>
            <w:szCs w:val="28"/>
          </w:rPr>
          <w:t>_</w:t>
        </w:r>
        <w:r w:rsidR="006A4500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query</w:t>
        </w:r>
        <w:r w:rsidR="006A4500" w:rsidRPr="00E16FAD">
          <w:rPr>
            <w:rStyle w:val="af"/>
            <w:rFonts w:ascii="Times New Roman" w:hAnsi="Times New Roman"/>
            <w:sz w:val="28"/>
            <w:szCs w:val="28"/>
          </w:rPr>
          <w:t>@</w:t>
        </w:r>
        <w:r w:rsidR="006A4500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accord</w:t>
        </w:r>
        <w:r w:rsidR="006A4500" w:rsidRPr="00E16FAD">
          <w:rPr>
            <w:rStyle w:val="af"/>
            <w:rFonts w:ascii="Times New Roman" w:hAnsi="Times New Roman"/>
            <w:sz w:val="28"/>
            <w:szCs w:val="28"/>
          </w:rPr>
          <w:t>-</w:t>
        </w:r>
        <w:r w:rsidR="006A4500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healthcare</w:t>
        </w:r>
        <w:r w:rsidR="006A4500" w:rsidRPr="00E16FAD">
          <w:rPr>
            <w:rStyle w:val="af"/>
            <w:rFonts w:ascii="Times New Roman" w:hAnsi="Times New Roman"/>
            <w:sz w:val="28"/>
            <w:szCs w:val="28"/>
          </w:rPr>
          <w:t>.</w:t>
        </w:r>
        <w:r w:rsidR="006A4500" w:rsidRPr="00E16FAD">
          <w:rPr>
            <w:rStyle w:val="af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14:paraId="75BA9002" w14:textId="77777777" w:rsidR="008031B2" w:rsidRPr="00E16FAD" w:rsidRDefault="008031B2" w:rsidP="00295D0C">
      <w:pPr>
        <w:pStyle w:val="21"/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</w:rPr>
      </w:pPr>
    </w:p>
    <w:p w14:paraId="11339AE9" w14:textId="07B4B320" w:rsidR="00891711" w:rsidRPr="00E16FAD" w:rsidRDefault="00F8747E" w:rsidP="00295D0C">
      <w:pPr>
        <w:pStyle w:val="21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de-DE"/>
        </w:rPr>
      </w:pPr>
      <w:r w:rsidRPr="00E16FAD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</w:t>
      </w:r>
      <w:r w:rsidR="00041028" w:rsidRPr="00E16FAD">
        <w:rPr>
          <w:rFonts w:ascii="Times New Roman" w:hAnsi="Times New Roman"/>
          <w:b/>
          <w:iCs/>
          <w:sz w:val="28"/>
          <w:szCs w:val="28"/>
          <w:lang w:val="kk-KZ"/>
        </w:rPr>
        <w:t xml:space="preserve">факс, </w:t>
      </w:r>
      <w:r w:rsidRPr="00E16FAD">
        <w:rPr>
          <w:rFonts w:ascii="Times New Roman" w:hAnsi="Times New Roman"/>
          <w:b/>
          <w:iCs/>
          <w:sz w:val="28"/>
          <w:szCs w:val="28"/>
          <w:lang w:val="kk-KZ"/>
        </w:rPr>
        <w:t xml:space="preserve">электронная почта) организации </w:t>
      </w:r>
      <w:r w:rsidRPr="00E16FAD">
        <w:rPr>
          <w:rFonts w:ascii="Times New Roman" w:hAnsi="Times New Roman"/>
          <w:b/>
          <w:iCs/>
          <w:sz w:val="28"/>
          <w:szCs w:val="28"/>
        </w:rPr>
        <w:t>на территории Республики Казахстан, прин</w:t>
      </w:r>
      <w:r w:rsidR="00041028" w:rsidRPr="00E16FAD">
        <w:rPr>
          <w:rFonts w:ascii="Times New Roman" w:hAnsi="Times New Roman"/>
          <w:b/>
          <w:iCs/>
          <w:sz w:val="28"/>
          <w:szCs w:val="28"/>
        </w:rPr>
        <w:t>имающей претензии (предложения) по качеству лекарственных средств от потребителей и</w:t>
      </w:r>
      <w:r w:rsidR="007E5B48" w:rsidRPr="00E16FAD">
        <w:rPr>
          <w:rFonts w:ascii="Times New Roman" w:hAnsi="Times New Roman"/>
          <w:b/>
          <w:iCs/>
          <w:sz w:val="28"/>
          <w:szCs w:val="28"/>
          <w:lang w:eastAsia="de-DE"/>
        </w:rPr>
        <w:t xml:space="preserve"> </w:t>
      </w:r>
      <w:proofErr w:type="spellStart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="00891711" w:rsidRPr="00E16FAD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  <w:r w:rsidR="00891711" w:rsidRPr="00E16FAD">
        <w:rPr>
          <w:rFonts w:ascii="Times New Roman" w:hAnsi="Times New Roman"/>
          <w:b/>
          <w:sz w:val="28"/>
          <w:szCs w:val="28"/>
          <w:lang w:val="de-DE" w:eastAsia="de-DE"/>
        </w:rPr>
        <w:t xml:space="preserve"> </w:t>
      </w:r>
    </w:p>
    <w:p w14:paraId="03CA8BA1" w14:textId="77777777" w:rsidR="008031B2" w:rsidRPr="00E16FAD" w:rsidRDefault="008031B2" w:rsidP="00295D0C">
      <w:pPr>
        <w:pStyle w:val="Default"/>
        <w:jc w:val="both"/>
        <w:rPr>
          <w:color w:val="auto"/>
          <w:sz w:val="28"/>
          <w:szCs w:val="28"/>
          <w:lang w:val="uk-UA"/>
        </w:rPr>
      </w:pPr>
      <w:r w:rsidRPr="00E16FAD">
        <w:rPr>
          <w:color w:val="auto"/>
          <w:sz w:val="28"/>
          <w:szCs w:val="28"/>
          <w:lang w:val="uk-UA"/>
        </w:rPr>
        <w:t>ТОО «</w:t>
      </w:r>
      <w:r w:rsidRPr="00E16FAD">
        <w:rPr>
          <w:color w:val="auto"/>
          <w:sz w:val="28"/>
          <w:szCs w:val="28"/>
        </w:rPr>
        <w:t>Saa</w:t>
      </w:r>
      <w:r w:rsidRPr="00E16FAD">
        <w:rPr>
          <w:color w:val="auto"/>
          <w:sz w:val="28"/>
          <w:szCs w:val="28"/>
          <w:lang w:val="uk-UA"/>
        </w:rPr>
        <w:t xml:space="preserve"> </w:t>
      </w:r>
      <w:r w:rsidRPr="00E16FAD">
        <w:rPr>
          <w:color w:val="auto"/>
          <w:sz w:val="28"/>
          <w:szCs w:val="28"/>
        </w:rPr>
        <w:t>Pharma</w:t>
      </w:r>
      <w:r w:rsidRPr="00E16FAD">
        <w:rPr>
          <w:color w:val="auto"/>
          <w:sz w:val="28"/>
          <w:szCs w:val="28"/>
          <w:lang w:val="uk-UA"/>
        </w:rPr>
        <w:t xml:space="preserve">», </w:t>
      </w:r>
    </w:p>
    <w:p w14:paraId="0C5B4EB2" w14:textId="77777777" w:rsidR="008031B2" w:rsidRPr="00E16FAD" w:rsidRDefault="008031B2" w:rsidP="00295D0C">
      <w:pPr>
        <w:pStyle w:val="Default"/>
        <w:jc w:val="both"/>
        <w:rPr>
          <w:color w:val="auto"/>
          <w:sz w:val="28"/>
          <w:szCs w:val="28"/>
        </w:rPr>
      </w:pPr>
      <w:r w:rsidRPr="00E16FAD">
        <w:rPr>
          <w:color w:val="auto"/>
          <w:sz w:val="28"/>
          <w:szCs w:val="28"/>
          <w:lang w:val="uk-UA"/>
        </w:rPr>
        <w:t xml:space="preserve">050010, г. Алматы, пр. </w:t>
      </w:r>
      <w:r w:rsidRPr="00E16FAD">
        <w:rPr>
          <w:color w:val="auto"/>
          <w:sz w:val="28"/>
          <w:szCs w:val="28"/>
        </w:rPr>
        <w:t>Достык, 38, оф. № 705, Бизнес-центр KDC</w:t>
      </w:r>
    </w:p>
    <w:p w14:paraId="25E6C6C7" w14:textId="77777777" w:rsidR="008031B2" w:rsidRPr="00E16FAD" w:rsidRDefault="008031B2" w:rsidP="00295D0C">
      <w:pPr>
        <w:pStyle w:val="Default"/>
        <w:jc w:val="both"/>
        <w:rPr>
          <w:color w:val="auto"/>
          <w:sz w:val="28"/>
          <w:szCs w:val="28"/>
        </w:rPr>
      </w:pPr>
      <w:r w:rsidRPr="00E16FAD">
        <w:rPr>
          <w:color w:val="auto"/>
          <w:sz w:val="28"/>
          <w:szCs w:val="28"/>
          <w:lang w:val="kk-KZ"/>
        </w:rPr>
        <w:t>Тел</w:t>
      </w:r>
      <w:r w:rsidRPr="00E16FAD">
        <w:rPr>
          <w:color w:val="auto"/>
          <w:sz w:val="28"/>
          <w:szCs w:val="28"/>
        </w:rPr>
        <w:t>.: +7 (727) 345 10 12</w:t>
      </w:r>
    </w:p>
    <w:p w14:paraId="2164780B" w14:textId="77777777" w:rsidR="008031B2" w:rsidRPr="00E16FAD" w:rsidRDefault="008031B2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FAD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12" w:history="1">
        <w:r w:rsidRPr="00E16FAD">
          <w:rPr>
            <w:rStyle w:val="af"/>
            <w:rFonts w:ascii="Times New Roman" w:hAnsi="Times New Roman"/>
            <w:sz w:val="28"/>
            <w:szCs w:val="28"/>
          </w:rPr>
          <w:t>info@saapharma.kz</w:t>
        </w:r>
      </w:hyperlink>
    </w:p>
    <w:p w14:paraId="3F511050" w14:textId="77777777" w:rsidR="00041028" w:rsidRPr="00E16FAD" w:rsidRDefault="00041028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3EBA6D4" w14:textId="77777777" w:rsidR="00041028" w:rsidRPr="00E16FAD" w:rsidRDefault="00041028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6BDDB9" w14:textId="77777777" w:rsidR="00041028" w:rsidRPr="00E16FAD" w:rsidRDefault="00041028" w:rsidP="00295D0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FD1FDE" w14:textId="77777777" w:rsidR="00EC2049" w:rsidRPr="00E16FAD" w:rsidRDefault="00EC2049" w:rsidP="008741C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EC2049" w:rsidRPr="00E16FAD" w:rsidSect="00F97B57">
      <w:headerReference w:type="defaul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7ED2C" w14:textId="77777777" w:rsidR="00F26076" w:rsidRDefault="00F26076" w:rsidP="00D275FC">
      <w:pPr>
        <w:spacing w:after="0" w:line="240" w:lineRule="auto"/>
      </w:pPr>
      <w:r>
        <w:separator/>
      </w:r>
    </w:p>
  </w:endnote>
  <w:endnote w:type="continuationSeparator" w:id="0">
    <w:p w14:paraId="2D0ECE55" w14:textId="77777777" w:rsidR="00F26076" w:rsidRDefault="00F26076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34F6A" w14:textId="77777777" w:rsidR="00F26076" w:rsidRDefault="00F26076" w:rsidP="00D275FC">
      <w:pPr>
        <w:spacing w:after="0" w:line="240" w:lineRule="auto"/>
      </w:pPr>
      <w:r>
        <w:separator/>
      </w:r>
    </w:p>
  </w:footnote>
  <w:footnote w:type="continuationSeparator" w:id="0">
    <w:p w14:paraId="08ACD436" w14:textId="77777777" w:rsidR="00F26076" w:rsidRDefault="00F26076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0AE0B" w14:textId="77777777" w:rsidR="005E108E" w:rsidRDefault="004751A3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EE7ED7" wp14:editId="7384D0E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4EFCBE" w14:textId="77777777" w:rsidR="005E108E" w:rsidRPr="00D275FC" w:rsidRDefault="005E108E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7EE7ED7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494EFCBE" w14:textId="77777777" w:rsidR="005E108E" w:rsidRPr="00D275FC" w:rsidRDefault="005E108E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6A7"/>
    <w:multiLevelType w:val="hybridMultilevel"/>
    <w:tmpl w:val="A814A514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85757"/>
    <w:multiLevelType w:val="hybridMultilevel"/>
    <w:tmpl w:val="BB369E14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30619"/>
    <w:multiLevelType w:val="hybridMultilevel"/>
    <w:tmpl w:val="2DE2BADE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023C6"/>
    <w:multiLevelType w:val="hybridMultilevel"/>
    <w:tmpl w:val="28048CD2"/>
    <w:lvl w:ilvl="0" w:tplc="D36081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E6380"/>
    <w:multiLevelType w:val="multilevel"/>
    <w:tmpl w:val="D968F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A718AC"/>
    <w:multiLevelType w:val="hybridMultilevel"/>
    <w:tmpl w:val="446EA49C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FE08D7"/>
    <w:multiLevelType w:val="hybridMultilevel"/>
    <w:tmpl w:val="A620911A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C48D5"/>
    <w:multiLevelType w:val="hybridMultilevel"/>
    <w:tmpl w:val="C8F86B04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F316B1"/>
    <w:multiLevelType w:val="hybridMultilevel"/>
    <w:tmpl w:val="627A7D26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955935"/>
    <w:multiLevelType w:val="hybridMultilevel"/>
    <w:tmpl w:val="3FC0F3F4"/>
    <w:lvl w:ilvl="0" w:tplc="30BAA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5"/>
  </w:num>
  <w:num w:numId="4">
    <w:abstractNumId w:val="25"/>
  </w:num>
  <w:num w:numId="5">
    <w:abstractNumId w:val="34"/>
  </w:num>
  <w:num w:numId="6">
    <w:abstractNumId w:val="8"/>
  </w:num>
  <w:num w:numId="7">
    <w:abstractNumId w:val="30"/>
  </w:num>
  <w:num w:numId="8">
    <w:abstractNumId w:val="10"/>
  </w:num>
  <w:num w:numId="9">
    <w:abstractNumId w:val="22"/>
  </w:num>
  <w:num w:numId="10">
    <w:abstractNumId w:val="11"/>
  </w:num>
  <w:num w:numId="11">
    <w:abstractNumId w:val="21"/>
  </w:num>
  <w:num w:numId="12">
    <w:abstractNumId w:val="24"/>
  </w:num>
  <w:num w:numId="13">
    <w:abstractNumId w:val="27"/>
  </w:num>
  <w:num w:numId="14">
    <w:abstractNumId w:val="17"/>
  </w:num>
  <w:num w:numId="15">
    <w:abstractNumId w:val="2"/>
  </w:num>
  <w:num w:numId="16">
    <w:abstractNumId w:val="32"/>
  </w:num>
  <w:num w:numId="17">
    <w:abstractNumId w:val="20"/>
  </w:num>
  <w:num w:numId="18">
    <w:abstractNumId w:val="19"/>
  </w:num>
  <w:num w:numId="19">
    <w:abstractNumId w:val="9"/>
  </w:num>
  <w:num w:numId="20">
    <w:abstractNumId w:val="3"/>
  </w:num>
  <w:num w:numId="21">
    <w:abstractNumId w:val="14"/>
  </w:num>
  <w:num w:numId="22">
    <w:abstractNumId w:val="7"/>
  </w:num>
  <w:num w:numId="23">
    <w:abstractNumId w:val="29"/>
  </w:num>
  <w:num w:numId="24">
    <w:abstractNumId w:val="15"/>
  </w:num>
  <w:num w:numId="25">
    <w:abstractNumId w:val="13"/>
  </w:num>
  <w:num w:numId="26">
    <w:abstractNumId w:val="18"/>
  </w:num>
  <w:num w:numId="27">
    <w:abstractNumId w:val="12"/>
  </w:num>
  <w:num w:numId="28">
    <w:abstractNumId w:val="33"/>
  </w:num>
  <w:num w:numId="29">
    <w:abstractNumId w:val="31"/>
  </w:num>
  <w:num w:numId="30">
    <w:abstractNumId w:val="1"/>
  </w:num>
  <w:num w:numId="31">
    <w:abstractNumId w:val="26"/>
  </w:num>
  <w:num w:numId="32">
    <w:abstractNumId w:val="28"/>
  </w:num>
  <w:num w:numId="33">
    <w:abstractNumId w:val="0"/>
  </w:num>
  <w:num w:numId="34">
    <w:abstractNumId w:val="1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10371"/>
    <w:rsid w:val="000264BB"/>
    <w:rsid w:val="00033FC1"/>
    <w:rsid w:val="00034159"/>
    <w:rsid w:val="00041028"/>
    <w:rsid w:val="00042999"/>
    <w:rsid w:val="00067C97"/>
    <w:rsid w:val="000852A1"/>
    <w:rsid w:val="00085B76"/>
    <w:rsid w:val="000972E6"/>
    <w:rsid w:val="000A0D71"/>
    <w:rsid w:val="000C0256"/>
    <w:rsid w:val="000C2C4B"/>
    <w:rsid w:val="000C4C48"/>
    <w:rsid w:val="000D2F22"/>
    <w:rsid w:val="000E01AB"/>
    <w:rsid w:val="000E2683"/>
    <w:rsid w:val="000E4292"/>
    <w:rsid w:val="000E49F0"/>
    <w:rsid w:val="000E6126"/>
    <w:rsid w:val="000E6B60"/>
    <w:rsid w:val="000F0EE2"/>
    <w:rsid w:val="00100406"/>
    <w:rsid w:val="00107A8A"/>
    <w:rsid w:val="00111788"/>
    <w:rsid w:val="001141DC"/>
    <w:rsid w:val="00132B9A"/>
    <w:rsid w:val="001368AE"/>
    <w:rsid w:val="00144CCD"/>
    <w:rsid w:val="00144ED0"/>
    <w:rsid w:val="00145AD2"/>
    <w:rsid w:val="00146D68"/>
    <w:rsid w:val="0014739A"/>
    <w:rsid w:val="0015490C"/>
    <w:rsid w:val="001573E2"/>
    <w:rsid w:val="0016278D"/>
    <w:rsid w:val="00167255"/>
    <w:rsid w:val="001937AD"/>
    <w:rsid w:val="00194F09"/>
    <w:rsid w:val="001A2CB2"/>
    <w:rsid w:val="001A5CCF"/>
    <w:rsid w:val="001B6AEC"/>
    <w:rsid w:val="001D59B7"/>
    <w:rsid w:val="001E6F4C"/>
    <w:rsid w:val="001F16AA"/>
    <w:rsid w:val="00203355"/>
    <w:rsid w:val="00211005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9002A"/>
    <w:rsid w:val="00290D2E"/>
    <w:rsid w:val="00292715"/>
    <w:rsid w:val="00295D0C"/>
    <w:rsid w:val="002A591C"/>
    <w:rsid w:val="002B3270"/>
    <w:rsid w:val="002C10E1"/>
    <w:rsid w:val="002C15EB"/>
    <w:rsid w:val="002C1660"/>
    <w:rsid w:val="002C35A2"/>
    <w:rsid w:val="002C5345"/>
    <w:rsid w:val="002C76D7"/>
    <w:rsid w:val="002D56B7"/>
    <w:rsid w:val="002E0BAD"/>
    <w:rsid w:val="002F27A0"/>
    <w:rsid w:val="002F4A14"/>
    <w:rsid w:val="00302607"/>
    <w:rsid w:val="003043BF"/>
    <w:rsid w:val="00311071"/>
    <w:rsid w:val="00320073"/>
    <w:rsid w:val="003262DF"/>
    <w:rsid w:val="003356B2"/>
    <w:rsid w:val="0036288F"/>
    <w:rsid w:val="00365B10"/>
    <w:rsid w:val="003662F1"/>
    <w:rsid w:val="00367BA7"/>
    <w:rsid w:val="003761C0"/>
    <w:rsid w:val="00377A4E"/>
    <w:rsid w:val="003812B2"/>
    <w:rsid w:val="00383CDB"/>
    <w:rsid w:val="00384F08"/>
    <w:rsid w:val="003879F9"/>
    <w:rsid w:val="00387FE7"/>
    <w:rsid w:val="00392475"/>
    <w:rsid w:val="003A035E"/>
    <w:rsid w:val="003B0285"/>
    <w:rsid w:val="003E13CF"/>
    <w:rsid w:val="003F5344"/>
    <w:rsid w:val="003F7EDC"/>
    <w:rsid w:val="00404548"/>
    <w:rsid w:val="0041162E"/>
    <w:rsid w:val="0042786D"/>
    <w:rsid w:val="00430612"/>
    <w:rsid w:val="00433C62"/>
    <w:rsid w:val="00434D01"/>
    <w:rsid w:val="004428B6"/>
    <w:rsid w:val="00472EF5"/>
    <w:rsid w:val="004751A3"/>
    <w:rsid w:val="0048687C"/>
    <w:rsid w:val="0049635D"/>
    <w:rsid w:val="004A31B4"/>
    <w:rsid w:val="004C1922"/>
    <w:rsid w:val="004C462F"/>
    <w:rsid w:val="004D49E9"/>
    <w:rsid w:val="004D6D6D"/>
    <w:rsid w:val="004E46C1"/>
    <w:rsid w:val="005071DA"/>
    <w:rsid w:val="00512C02"/>
    <w:rsid w:val="00523D82"/>
    <w:rsid w:val="00540B91"/>
    <w:rsid w:val="00541A00"/>
    <w:rsid w:val="005444B2"/>
    <w:rsid w:val="00552F8B"/>
    <w:rsid w:val="00561FE7"/>
    <w:rsid w:val="00575348"/>
    <w:rsid w:val="005779DE"/>
    <w:rsid w:val="005869C5"/>
    <w:rsid w:val="005A3C81"/>
    <w:rsid w:val="005A5680"/>
    <w:rsid w:val="005A6639"/>
    <w:rsid w:val="005A6914"/>
    <w:rsid w:val="005B3FFE"/>
    <w:rsid w:val="005C0830"/>
    <w:rsid w:val="005C1519"/>
    <w:rsid w:val="005C1C4E"/>
    <w:rsid w:val="005C4A16"/>
    <w:rsid w:val="005C4B12"/>
    <w:rsid w:val="005D68C6"/>
    <w:rsid w:val="005D7E76"/>
    <w:rsid w:val="005D7EE3"/>
    <w:rsid w:val="005E108E"/>
    <w:rsid w:val="005E50DE"/>
    <w:rsid w:val="005F4C46"/>
    <w:rsid w:val="005F7097"/>
    <w:rsid w:val="006020ED"/>
    <w:rsid w:val="0060364A"/>
    <w:rsid w:val="0061650D"/>
    <w:rsid w:val="00617843"/>
    <w:rsid w:val="00620F34"/>
    <w:rsid w:val="00624C1B"/>
    <w:rsid w:val="00625471"/>
    <w:rsid w:val="00627853"/>
    <w:rsid w:val="00634D0C"/>
    <w:rsid w:val="006432FA"/>
    <w:rsid w:val="00652BCE"/>
    <w:rsid w:val="00652E29"/>
    <w:rsid w:val="00653617"/>
    <w:rsid w:val="006703A5"/>
    <w:rsid w:val="0067136B"/>
    <w:rsid w:val="00691208"/>
    <w:rsid w:val="00693014"/>
    <w:rsid w:val="00697074"/>
    <w:rsid w:val="006A23C4"/>
    <w:rsid w:val="006A4500"/>
    <w:rsid w:val="006A702E"/>
    <w:rsid w:val="006B28F8"/>
    <w:rsid w:val="006B7A90"/>
    <w:rsid w:val="006C4503"/>
    <w:rsid w:val="006C577B"/>
    <w:rsid w:val="006C5F38"/>
    <w:rsid w:val="006C6558"/>
    <w:rsid w:val="006D7D5A"/>
    <w:rsid w:val="006E4305"/>
    <w:rsid w:val="006F5763"/>
    <w:rsid w:val="00704BAB"/>
    <w:rsid w:val="007104D1"/>
    <w:rsid w:val="007123A8"/>
    <w:rsid w:val="007135A6"/>
    <w:rsid w:val="007303E1"/>
    <w:rsid w:val="00732F32"/>
    <w:rsid w:val="00733A73"/>
    <w:rsid w:val="00736B6C"/>
    <w:rsid w:val="00745CFF"/>
    <w:rsid w:val="00746FF2"/>
    <w:rsid w:val="007567DF"/>
    <w:rsid w:val="00761133"/>
    <w:rsid w:val="00764E84"/>
    <w:rsid w:val="00766081"/>
    <w:rsid w:val="007762F8"/>
    <w:rsid w:val="00783520"/>
    <w:rsid w:val="007A02D3"/>
    <w:rsid w:val="007A18B1"/>
    <w:rsid w:val="007A7D2C"/>
    <w:rsid w:val="007B22E1"/>
    <w:rsid w:val="007C055A"/>
    <w:rsid w:val="007C1693"/>
    <w:rsid w:val="007D0E84"/>
    <w:rsid w:val="007D681B"/>
    <w:rsid w:val="007E1A7B"/>
    <w:rsid w:val="007E1D85"/>
    <w:rsid w:val="007E4721"/>
    <w:rsid w:val="007E5B48"/>
    <w:rsid w:val="007E702A"/>
    <w:rsid w:val="008031B2"/>
    <w:rsid w:val="00805ACC"/>
    <w:rsid w:val="0081154A"/>
    <w:rsid w:val="00816D90"/>
    <w:rsid w:val="00820280"/>
    <w:rsid w:val="00820B36"/>
    <w:rsid w:val="008250FA"/>
    <w:rsid w:val="0082725A"/>
    <w:rsid w:val="00827BB2"/>
    <w:rsid w:val="00831BA4"/>
    <w:rsid w:val="008329DA"/>
    <w:rsid w:val="008330E7"/>
    <w:rsid w:val="008353A4"/>
    <w:rsid w:val="008372C6"/>
    <w:rsid w:val="00844CE8"/>
    <w:rsid w:val="00847154"/>
    <w:rsid w:val="00847FB4"/>
    <w:rsid w:val="00853988"/>
    <w:rsid w:val="0086657B"/>
    <w:rsid w:val="008741CA"/>
    <w:rsid w:val="008817ED"/>
    <w:rsid w:val="008832E5"/>
    <w:rsid w:val="00891711"/>
    <w:rsid w:val="0089621F"/>
    <w:rsid w:val="00897669"/>
    <w:rsid w:val="008A06BA"/>
    <w:rsid w:val="008C0181"/>
    <w:rsid w:val="008C7244"/>
    <w:rsid w:val="008D4451"/>
    <w:rsid w:val="008D4569"/>
    <w:rsid w:val="008D4DE2"/>
    <w:rsid w:val="008D5B8C"/>
    <w:rsid w:val="008D62B7"/>
    <w:rsid w:val="008E0919"/>
    <w:rsid w:val="008E6895"/>
    <w:rsid w:val="00900B3C"/>
    <w:rsid w:val="00904FB5"/>
    <w:rsid w:val="0091136C"/>
    <w:rsid w:val="009157ED"/>
    <w:rsid w:val="00917C5F"/>
    <w:rsid w:val="00930D7D"/>
    <w:rsid w:val="00935208"/>
    <w:rsid w:val="00940902"/>
    <w:rsid w:val="0095047E"/>
    <w:rsid w:val="00956101"/>
    <w:rsid w:val="00957368"/>
    <w:rsid w:val="00962CD6"/>
    <w:rsid w:val="00965B2E"/>
    <w:rsid w:val="00993A60"/>
    <w:rsid w:val="00996F90"/>
    <w:rsid w:val="009B014E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74001"/>
    <w:rsid w:val="00A80D9C"/>
    <w:rsid w:val="00A8185B"/>
    <w:rsid w:val="00A92BDA"/>
    <w:rsid w:val="00A9352C"/>
    <w:rsid w:val="00AA13E0"/>
    <w:rsid w:val="00AA5E2F"/>
    <w:rsid w:val="00AA7317"/>
    <w:rsid w:val="00AC2C0B"/>
    <w:rsid w:val="00AC4905"/>
    <w:rsid w:val="00AE7922"/>
    <w:rsid w:val="00AF1BB8"/>
    <w:rsid w:val="00B00DD8"/>
    <w:rsid w:val="00B01011"/>
    <w:rsid w:val="00B029A8"/>
    <w:rsid w:val="00B11878"/>
    <w:rsid w:val="00B335F5"/>
    <w:rsid w:val="00B46F30"/>
    <w:rsid w:val="00B608C1"/>
    <w:rsid w:val="00B60D3D"/>
    <w:rsid w:val="00B61D95"/>
    <w:rsid w:val="00B75404"/>
    <w:rsid w:val="00B9187F"/>
    <w:rsid w:val="00BB3050"/>
    <w:rsid w:val="00BB7831"/>
    <w:rsid w:val="00BC06C1"/>
    <w:rsid w:val="00BC31BC"/>
    <w:rsid w:val="00BC6167"/>
    <w:rsid w:val="00BE4435"/>
    <w:rsid w:val="00BE6B71"/>
    <w:rsid w:val="00C07BB3"/>
    <w:rsid w:val="00C2000E"/>
    <w:rsid w:val="00C379C9"/>
    <w:rsid w:val="00C422B8"/>
    <w:rsid w:val="00C54C79"/>
    <w:rsid w:val="00C566D6"/>
    <w:rsid w:val="00C73CCA"/>
    <w:rsid w:val="00C839ED"/>
    <w:rsid w:val="00C83BC9"/>
    <w:rsid w:val="00C84299"/>
    <w:rsid w:val="00C9099E"/>
    <w:rsid w:val="00C92F14"/>
    <w:rsid w:val="00C9308C"/>
    <w:rsid w:val="00C97365"/>
    <w:rsid w:val="00CB42B0"/>
    <w:rsid w:val="00CC08BA"/>
    <w:rsid w:val="00CC330A"/>
    <w:rsid w:val="00CC3BE1"/>
    <w:rsid w:val="00CC5727"/>
    <w:rsid w:val="00CC7DBD"/>
    <w:rsid w:val="00CE38C0"/>
    <w:rsid w:val="00CF3849"/>
    <w:rsid w:val="00CF3D1C"/>
    <w:rsid w:val="00D0233C"/>
    <w:rsid w:val="00D04B60"/>
    <w:rsid w:val="00D066FC"/>
    <w:rsid w:val="00D11462"/>
    <w:rsid w:val="00D14D61"/>
    <w:rsid w:val="00D22A47"/>
    <w:rsid w:val="00D275FC"/>
    <w:rsid w:val="00D34C3B"/>
    <w:rsid w:val="00D3576E"/>
    <w:rsid w:val="00D43297"/>
    <w:rsid w:val="00D46B0B"/>
    <w:rsid w:val="00D54712"/>
    <w:rsid w:val="00D55ED8"/>
    <w:rsid w:val="00D70DB6"/>
    <w:rsid w:val="00D76048"/>
    <w:rsid w:val="00D8094C"/>
    <w:rsid w:val="00D83BC4"/>
    <w:rsid w:val="00D93481"/>
    <w:rsid w:val="00D93C80"/>
    <w:rsid w:val="00D96A8F"/>
    <w:rsid w:val="00DB406A"/>
    <w:rsid w:val="00DB7546"/>
    <w:rsid w:val="00DE2F3B"/>
    <w:rsid w:val="00DF11A7"/>
    <w:rsid w:val="00E03E8D"/>
    <w:rsid w:val="00E068A3"/>
    <w:rsid w:val="00E16FAD"/>
    <w:rsid w:val="00E271CB"/>
    <w:rsid w:val="00E27303"/>
    <w:rsid w:val="00E34FE3"/>
    <w:rsid w:val="00E55D6C"/>
    <w:rsid w:val="00E57396"/>
    <w:rsid w:val="00E61F77"/>
    <w:rsid w:val="00E81A1B"/>
    <w:rsid w:val="00E81A86"/>
    <w:rsid w:val="00E8607B"/>
    <w:rsid w:val="00E91073"/>
    <w:rsid w:val="00E93583"/>
    <w:rsid w:val="00EA2F86"/>
    <w:rsid w:val="00EA6D39"/>
    <w:rsid w:val="00EB0D8C"/>
    <w:rsid w:val="00EB1D97"/>
    <w:rsid w:val="00EB290C"/>
    <w:rsid w:val="00EC2049"/>
    <w:rsid w:val="00EF3050"/>
    <w:rsid w:val="00EF4C53"/>
    <w:rsid w:val="00F006F1"/>
    <w:rsid w:val="00F07B7B"/>
    <w:rsid w:val="00F23B95"/>
    <w:rsid w:val="00F24810"/>
    <w:rsid w:val="00F26076"/>
    <w:rsid w:val="00F40388"/>
    <w:rsid w:val="00F5462A"/>
    <w:rsid w:val="00F63389"/>
    <w:rsid w:val="00F8728C"/>
    <w:rsid w:val="00F8747E"/>
    <w:rsid w:val="00F91977"/>
    <w:rsid w:val="00F97B57"/>
    <w:rsid w:val="00FA4F7C"/>
    <w:rsid w:val="00FB0456"/>
    <w:rsid w:val="00FB47F4"/>
    <w:rsid w:val="00FD2B12"/>
    <w:rsid w:val="00FD2B9F"/>
    <w:rsid w:val="00FD62A9"/>
    <w:rsid w:val="00FE566D"/>
    <w:rsid w:val="00FE5989"/>
    <w:rsid w:val="00FF258E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2C6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8031B2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068A3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068A3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character" w:customStyle="1" w:styleId="14">
    <w:name w:val="Неразрешенное упоминание1"/>
    <w:uiPriority w:val="99"/>
    <w:semiHidden/>
    <w:unhideWhenUsed/>
    <w:rsid w:val="008031B2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E068A3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E068A3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aapharm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_query@accord-healthcare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o@onkokocs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701CB-2C5C-424D-9A79-A53C5764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5637</Words>
  <Characters>32132</Characters>
  <Application>Microsoft Office Word</Application>
  <DocSecurity>0</DocSecurity>
  <Lines>267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37694</CharactersWithSpaces>
  <SharedDoc>false</SharedDoc>
  <HLinks>
    <vt:vector size="24" baseType="variant">
      <vt:variant>
        <vt:i4>6553673</vt:i4>
      </vt:variant>
      <vt:variant>
        <vt:i4>9</vt:i4>
      </vt:variant>
      <vt:variant>
        <vt:i4>0</vt:i4>
      </vt:variant>
      <vt:variant>
        <vt:i4>5</vt:i4>
      </vt:variant>
      <vt:variant>
        <vt:lpwstr>mailto:info@saapharma.kz</vt:lpwstr>
      </vt:variant>
      <vt:variant>
        <vt:lpwstr/>
      </vt:variant>
      <vt:variant>
        <vt:i4>5046301</vt:i4>
      </vt:variant>
      <vt:variant>
        <vt:i4>6</vt:i4>
      </vt:variant>
      <vt:variant>
        <vt:i4>0</vt:i4>
      </vt:variant>
      <vt:variant>
        <vt:i4>5</vt:i4>
      </vt:variant>
      <vt:variant>
        <vt:lpwstr>mailto:ra_query@accord-healthcare.com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mailto:info@onkokocsel.com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Уайсова Дана Сагитбековна</cp:lastModifiedBy>
  <cp:revision>2</cp:revision>
  <cp:lastPrinted>2018-03-22T06:08:00Z</cp:lastPrinted>
  <dcterms:created xsi:type="dcterms:W3CDTF">2022-05-25T03:18:00Z</dcterms:created>
  <dcterms:modified xsi:type="dcterms:W3CDTF">2022-05-25T03:18:00Z</dcterms:modified>
</cp:coreProperties>
</file>