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819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  <w:gridCol w:w="4536"/>
      </w:tblGrid>
      <w:tr w:rsidR="00B911FD" w:rsidRPr="008A38F8" w14:paraId="7D2CE530" w14:textId="77777777" w:rsidTr="00B911FD">
        <w:tc>
          <w:tcPr>
            <w:tcW w:w="5211" w:type="dxa"/>
            <w:hideMark/>
          </w:tcPr>
          <w:p w14:paraId="5B7AE67F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99E5616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4A597810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Председателя</w:t>
            </w:r>
          </w:p>
          <w:p w14:paraId="655FD135" w14:textId="7C3484D4" w:rsidR="00B911FD" w:rsidRPr="008A38F8" w:rsidRDefault="007F4663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</w:t>
            </w:r>
            <w:r w:rsidR="00B911FD"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медицинского и</w:t>
            </w:r>
          </w:p>
          <w:p w14:paraId="27E9BE77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контроля»</w:t>
            </w:r>
          </w:p>
          <w:p w14:paraId="4D3C9766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2888F86D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</w:p>
          <w:p w14:paraId="29AF354E" w14:textId="77777777" w:rsidR="00B911FD" w:rsidRPr="008A38F8" w:rsidRDefault="00B911FD" w:rsidP="00B911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06571018" w14:textId="419CC4A8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  <w:hideMark/>
          </w:tcPr>
          <w:p w14:paraId="379ED42F" w14:textId="396582C8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33ED98D" w14:textId="77777777" w:rsidR="00B911FD" w:rsidRPr="008A38F8" w:rsidRDefault="00B911FD" w:rsidP="00B91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8A38F8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911FD" w:rsidRPr="008A38F8" w14:paraId="424CC44A" w14:textId="77777777" w:rsidTr="00B911FD">
        <w:tc>
          <w:tcPr>
            <w:tcW w:w="5211" w:type="dxa"/>
          </w:tcPr>
          <w:p w14:paraId="2B8E5CCE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F8B2235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67ABF6C9" w14:textId="77777777" w:rsidR="00B911FD" w:rsidRPr="008A38F8" w:rsidRDefault="00B911FD" w:rsidP="00B911FD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B276B50" w14:textId="77777777" w:rsidR="00B911FD" w:rsidRPr="008A38F8" w:rsidRDefault="00B911FD" w:rsidP="00B911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26FC3772" w14:textId="77777777" w:rsidR="00B911FD" w:rsidRPr="008A38F8" w:rsidRDefault="00B911FD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14B782" w14:textId="6ABB1AB3" w:rsidR="00D76048" w:rsidRPr="008A38F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43D0EDBD" w14:textId="77777777" w:rsidR="00D76048" w:rsidRPr="008A38F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64F229B2" w14:textId="77777777" w:rsidR="002C76D7" w:rsidRPr="008A38F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368FB2" w14:textId="77777777" w:rsidR="002C76D7" w:rsidRPr="008A38F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E960A36" w14:textId="76867DC9" w:rsidR="00011C8F" w:rsidRPr="008A38F8" w:rsidRDefault="00011C8F" w:rsidP="00011C8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A38F8">
        <w:rPr>
          <w:rFonts w:ascii="Times New Roman" w:eastAsia="Times New Roman" w:hAnsi="Times New Roman"/>
          <w:sz w:val="28"/>
          <w:szCs w:val="28"/>
          <w:lang w:eastAsia="ru-RU"/>
        </w:rPr>
        <w:t>СинноПар</w:t>
      </w:r>
      <w:proofErr w:type="spellEnd"/>
    </w:p>
    <w:p w14:paraId="7D336711" w14:textId="77777777" w:rsidR="002C76D7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05FB5A" w14:textId="77777777" w:rsidR="002C76D7" w:rsidRPr="008A38F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3A8869F" w14:textId="77777777" w:rsidR="00011C8F" w:rsidRPr="008A38F8" w:rsidRDefault="00011C8F" w:rsidP="00011C8F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8A38F8">
        <w:rPr>
          <w:rFonts w:ascii="Times New Roman" w:eastAsia="Times New Roman" w:hAnsi="Times New Roman"/>
          <w:bCs/>
          <w:sz w:val="28"/>
          <w:szCs w:val="28"/>
          <w:lang w:eastAsia="ru-RU"/>
        </w:rPr>
        <w:t>Терипаратид</w:t>
      </w:r>
      <w:proofErr w:type="spellEnd"/>
      <w:r w:rsidRPr="008A38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8886F0E" w14:textId="77777777" w:rsidR="002C76D7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19513E" w14:textId="77777777" w:rsidR="00D76048" w:rsidRPr="008A38F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374E733E" w14:textId="2E5757AF" w:rsidR="00B01011" w:rsidRPr="00AD2CD6" w:rsidRDefault="00011C8F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sz w:val="28"/>
          <w:szCs w:val="28"/>
          <w:lang w:eastAsia="ru-RU"/>
        </w:rPr>
        <w:t>Раствор для подкожного введения</w:t>
      </w:r>
      <w:r w:rsidR="00AD2C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CD6" w:rsidRPr="00AD2CD6">
        <w:rPr>
          <w:rFonts w:ascii="Times New Roman" w:eastAsia="Times New Roman" w:hAnsi="Times New Roman"/>
          <w:bCs/>
          <w:sz w:val="28"/>
          <w:szCs w:val="28"/>
          <w:lang w:eastAsia="ru-RU"/>
        </w:rPr>
        <w:t>в картридже</w:t>
      </w:r>
      <w:r w:rsidR="00AD2CD6" w:rsidRPr="00AD2CD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, 250 мкг/мл, </w:t>
      </w:r>
      <w:r w:rsidR="00AD2CD6" w:rsidRPr="00AD2CD6">
        <w:rPr>
          <w:rFonts w:ascii="Times New Roman" w:eastAsia="Times New Roman" w:hAnsi="Times New Roman"/>
          <w:sz w:val="28"/>
          <w:szCs w:val="28"/>
          <w:lang w:val="kk-KZ" w:eastAsia="ru-RU"/>
        </w:rPr>
        <w:t>2.4 мл</w:t>
      </w:r>
    </w:p>
    <w:p w14:paraId="3D9B449E" w14:textId="77777777" w:rsidR="00011C8F" w:rsidRPr="008A38F8" w:rsidRDefault="00011C8F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A7E272" w14:textId="77777777" w:rsidR="002C1660" w:rsidRPr="008A38F8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8A38F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67EEDF4" w14:textId="77777777" w:rsidR="00011C8F" w:rsidRPr="008A38F8" w:rsidRDefault="00011C8F" w:rsidP="00011C8F">
      <w:pPr>
        <w:pStyle w:val="a8"/>
        <w:spacing w:after="0"/>
        <w:jc w:val="both"/>
        <w:rPr>
          <w:snapToGrid w:val="0"/>
          <w:sz w:val="28"/>
          <w:szCs w:val="28"/>
        </w:rPr>
      </w:pPr>
      <w:r w:rsidRPr="008A38F8">
        <w:rPr>
          <w:snapToGrid w:val="0"/>
          <w:sz w:val="28"/>
          <w:szCs w:val="28"/>
        </w:rPr>
        <w:t xml:space="preserve">Гормональные препараты системного действия, исключая половые гормоны и инсулины. Гормоны для лечения заболеваний паращитовидной железы. Паратиреоидные гормоны. </w:t>
      </w:r>
      <w:proofErr w:type="spellStart"/>
      <w:r w:rsidRPr="008A38F8">
        <w:rPr>
          <w:snapToGrid w:val="0"/>
          <w:sz w:val="28"/>
          <w:szCs w:val="28"/>
        </w:rPr>
        <w:t>Терипаратид</w:t>
      </w:r>
      <w:proofErr w:type="spellEnd"/>
      <w:r w:rsidRPr="008A38F8">
        <w:rPr>
          <w:snapToGrid w:val="0"/>
          <w:sz w:val="28"/>
          <w:szCs w:val="28"/>
        </w:rPr>
        <w:t>.</w:t>
      </w:r>
    </w:p>
    <w:p w14:paraId="7E7B9529" w14:textId="77777777" w:rsidR="00011C8F" w:rsidRPr="008A38F8" w:rsidRDefault="00011C8F" w:rsidP="00011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8F8">
        <w:rPr>
          <w:rFonts w:ascii="Times New Roman" w:eastAsia="TimesNewRomanPSMT" w:hAnsi="Times New Roman"/>
          <w:sz w:val="28"/>
          <w:szCs w:val="28"/>
          <w:lang w:eastAsia="ru-RU"/>
        </w:rPr>
        <w:t>Код ATХ</w:t>
      </w:r>
      <w:r w:rsidRPr="008A38F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38F8">
        <w:rPr>
          <w:rFonts w:ascii="Times New Roman" w:eastAsia="TimesNewRomanPSMT" w:hAnsi="Times New Roman"/>
          <w:sz w:val="28"/>
          <w:szCs w:val="28"/>
          <w:lang w:eastAsia="ru-RU"/>
        </w:rPr>
        <w:t>H05AA02</w:t>
      </w:r>
    </w:p>
    <w:p w14:paraId="5EA70FD8" w14:textId="50410E6F" w:rsidR="002C76D7" w:rsidRPr="008A38F8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17C8E7" w14:textId="77777777" w:rsidR="002C76D7" w:rsidRPr="008A38F8" w:rsidRDefault="005444B2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8A38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8A38F8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14:paraId="5652E1C4" w14:textId="77777777" w:rsidR="00011C8F" w:rsidRPr="008A38F8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38F8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показан взрослым:</w:t>
      </w:r>
    </w:p>
    <w:p w14:paraId="44ABF8D1" w14:textId="7A1672CC" w:rsidR="00011C8F" w:rsidRPr="008A38F8" w:rsidRDefault="00011C8F" w:rsidP="00011C8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лечение остеопороза у женщин в постменопаузальном периоде и у мужчин, входящих в группу повышенного риска переломов. </w:t>
      </w:r>
      <w:bookmarkStart w:id="1" w:name="_Hlk89854649"/>
      <w:r w:rsidRPr="008A38F8">
        <w:rPr>
          <w:rFonts w:ascii="Times New Roman" w:hAnsi="Times New Roman"/>
          <w:sz w:val="28"/>
          <w:szCs w:val="28"/>
        </w:rPr>
        <w:t>У женщин в постменопаузальном период</w:t>
      </w:r>
      <w:r w:rsidR="00DF604B">
        <w:rPr>
          <w:rFonts w:ascii="Times New Roman" w:hAnsi="Times New Roman"/>
          <w:sz w:val="28"/>
          <w:szCs w:val="28"/>
          <w:lang w:val="ru-KZ"/>
        </w:rPr>
        <w:t>е</w:t>
      </w:r>
      <w:bookmarkEnd w:id="1"/>
      <w:r w:rsidRPr="008A38F8">
        <w:rPr>
          <w:rFonts w:ascii="Times New Roman" w:hAnsi="Times New Roman"/>
          <w:sz w:val="28"/>
          <w:szCs w:val="28"/>
        </w:rPr>
        <w:t xml:space="preserve"> наблюдалось значительное сокращение частоты </w:t>
      </w:r>
      <w:proofErr w:type="spellStart"/>
      <w:r w:rsidRPr="008A38F8">
        <w:rPr>
          <w:rFonts w:ascii="Times New Roman" w:hAnsi="Times New Roman"/>
          <w:sz w:val="28"/>
          <w:szCs w:val="28"/>
        </w:rPr>
        <w:t>вертебральных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A38F8">
        <w:rPr>
          <w:rFonts w:ascii="Times New Roman" w:hAnsi="Times New Roman"/>
          <w:sz w:val="28"/>
          <w:szCs w:val="28"/>
        </w:rPr>
        <w:t>невертебральных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переломов, за исключением переломов шейки бедра;</w:t>
      </w:r>
    </w:p>
    <w:p w14:paraId="147530E3" w14:textId="77777777" w:rsidR="00011C8F" w:rsidRPr="008A38F8" w:rsidRDefault="00011C8F" w:rsidP="00011C8F">
      <w:pPr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лечение остеопороза, связанного с длительной терапией системными глюкокортикоидами, у женщин и мужчин, входящих в группу повышенного риска переломов.</w:t>
      </w:r>
    </w:p>
    <w:p w14:paraId="57204205" w14:textId="77777777" w:rsidR="00844CE8" w:rsidRPr="008A38F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91AD0F" w14:textId="77777777" w:rsidR="00DB406A" w:rsidRPr="008A38F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8A38F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EA8D9DC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2FA31E2" w14:textId="598BBA25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гиперчувствительность к действующему веществу (веществам) или к любому из вспомогательных веществ</w:t>
      </w:r>
    </w:p>
    <w:p w14:paraId="73585F79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предшествующая гиперкальциемия</w:t>
      </w:r>
    </w:p>
    <w:p w14:paraId="2053A3E3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lastRenderedPageBreak/>
        <w:t>тяжелая почечная недостаточность</w:t>
      </w:r>
    </w:p>
    <w:p w14:paraId="43C309EA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метаболические заболевания костей, за исключением первичного остеопороза или глюкокортикоид-индуцированного остеопороза (включая </w:t>
      </w:r>
      <w:proofErr w:type="spellStart"/>
      <w:r w:rsidRPr="008A38F8">
        <w:rPr>
          <w:rFonts w:ascii="Times New Roman" w:hAnsi="Times New Roman"/>
          <w:sz w:val="28"/>
          <w:szCs w:val="28"/>
        </w:rPr>
        <w:t>гиперпаратиреоз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и болезнь </w:t>
      </w:r>
      <w:proofErr w:type="spellStart"/>
      <w:r w:rsidRPr="008A38F8">
        <w:rPr>
          <w:rFonts w:ascii="Times New Roman" w:hAnsi="Times New Roman"/>
          <w:sz w:val="28"/>
          <w:szCs w:val="28"/>
        </w:rPr>
        <w:t>Педжета</w:t>
      </w:r>
      <w:proofErr w:type="spellEnd"/>
      <w:r w:rsidRPr="008A38F8">
        <w:rPr>
          <w:rFonts w:ascii="Times New Roman" w:hAnsi="Times New Roman"/>
          <w:sz w:val="28"/>
          <w:szCs w:val="28"/>
        </w:rPr>
        <w:t>)</w:t>
      </w:r>
    </w:p>
    <w:p w14:paraId="2C6036AB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повышение активности щелочной фосфатазы неясного генеза</w:t>
      </w:r>
    </w:p>
    <w:p w14:paraId="021DFDBD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предшествующая внешняя или контактная лучевая терапия костей скелета</w:t>
      </w:r>
    </w:p>
    <w:p w14:paraId="539BF74D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пациентам со злокачественными опухолями костей или метастазами в кости</w:t>
      </w:r>
    </w:p>
    <w:p w14:paraId="216B354B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>беременность и период лактации</w:t>
      </w:r>
    </w:p>
    <w:p w14:paraId="28E85371" w14:textId="77777777" w:rsidR="00011C8F" w:rsidRPr="008A38F8" w:rsidRDefault="00011C8F" w:rsidP="00011C8F">
      <w:pPr>
        <w:numPr>
          <w:ilvl w:val="0"/>
          <w:numId w:val="27"/>
        </w:numPr>
        <w:tabs>
          <w:tab w:val="clear" w:pos="567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>детский и подростковый возраст до 18 лет</w:t>
      </w:r>
    </w:p>
    <w:p w14:paraId="7493A4F1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7C4702F9" w14:textId="4B31E817" w:rsidR="008A38F8" w:rsidRPr="008A38F8" w:rsidRDefault="008A38F8" w:rsidP="008A38F8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 xml:space="preserve"> представлен в предварительно заполненной ручке. Каждая ручка может использоваться только одним пациентом. Пациент должен быть обучен технике введения препарата. Для каждой инъекции требуется новая стерильная игла. Иглы для инъекций в комплект не входят. </w:t>
      </w:r>
      <w:r w:rsidR="00AD2CD6">
        <w:rPr>
          <w:rFonts w:ascii="Times New Roman" w:hAnsi="Times New Roman"/>
          <w:snapToGrid w:val="0"/>
          <w:sz w:val="28"/>
          <w:szCs w:val="28"/>
        </w:rPr>
        <w:t>Р</w:t>
      </w:r>
      <w:r w:rsidRPr="008A38F8">
        <w:rPr>
          <w:rFonts w:ascii="Times New Roman" w:hAnsi="Times New Roman"/>
          <w:snapToGrid w:val="0"/>
          <w:sz w:val="28"/>
          <w:szCs w:val="28"/>
        </w:rPr>
        <w:t xml:space="preserve">учка может использоваться с иглами для инсулиновых ручек. После каждой инъекции ручка </w:t>
      </w: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 xml:space="preserve"> должна быть помещена в холодильник.</w:t>
      </w:r>
    </w:p>
    <w:p w14:paraId="4B49FEBF" w14:textId="77777777" w:rsidR="008A38F8" w:rsidRPr="008A38F8" w:rsidRDefault="008A38F8" w:rsidP="008A38F8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r w:rsidRPr="008A38F8">
        <w:rPr>
          <w:rFonts w:ascii="Times New Roman" w:hAnsi="Times New Roman"/>
          <w:snapToGrid w:val="0"/>
          <w:sz w:val="28"/>
          <w:szCs w:val="28"/>
        </w:rPr>
        <w:t xml:space="preserve">Нельзя использовать </w:t>
      </w:r>
      <w:proofErr w:type="spellStart"/>
      <w:r w:rsidRPr="008A38F8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8A38F8">
        <w:rPr>
          <w:rFonts w:ascii="Times New Roman" w:hAnsi="Times New Roman"/>
          <w:snapToGrid w:val="0"/>
          <w:sz w:val="28"/>
          <w:szCs w:val="28"/>
        </w:rPr>
        <w:t>, если раствор мутный, поменял цвет или содержит взвешенные частицы. Неиспользованный препарат или расходный материал следует утилизировать в соответствии с местными требованиями.</w:t>
      </w:r>
    </w:p>
    <w:p w14:paraId="5B36FEFD" w14:textId="77777777" w:rsidR="007D0E84" w:rsidRPr="008A38F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A38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395E171" w14:textId="78BDBBDF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8A38F8">
        <w:rPr>
          <w:rFonts w:ascii="Times New Roman" w:hAnsi="Times New Roman"/>
          <w:sz w:val="28"/>
          <w:szCs w:val="28"/>
        </w:rPr>
        <w:t xml:space="preserve">Однократное введение </w:t>
      </w:r>
      <w:proofErr w:type="spellStart"/>
      <w:r w:rsidR="0089576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не оказывает влияния на </w:t>
      </w:r>
      <w:proofErr w:type="spellStart"/>
      <w:r w:rsidRPr="008A38F8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38F8">
        <w:rPr>
          <w:rFonts w:ascii="Times New Roman" w:hAnsi="Times New Roman"/>
          <w:i/>
          <w:sz w:val="28"/>
          <w:szCs w:val="28"/>
        </w:rPr>
        <w:t>дигоксина</w:t>
      </w:r>
      <w:proofErr w:type="spellEnd"/>
      <w:r w:rsidRPr="008A38F8">
        <w:rPr>
          <w:rFonts w:ascii="Times New Roman" w:hAnsi="Times New Roman"/>
          <w:sz w:val="28"/>
          <w:szCs w:val="28"/>
        </w:rPr>
        <w:t xml:space="preserve">. Гиперкальциемия является предрасполагающим фактором к развитию интоксикации препаратами дигиталиса, поэтому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должен с осторожностью применяться у пациентов, принимающих препараты дигиталиса.</w:t>
      </w:r>
    </w:p>
    <w:p w14:paraId="67F67D45" w14:textId="2609043C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В ходе фармакодинамических взаимодействии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гидрохлортиазидом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клинически значимых взаимодействий выявлено не было. </w:t>
      </w:r>
    </w:p>
    <w:p w14:paraId="7630BC5F" w14:textId="4D61E39C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Совместное назначение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ралоксифеном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35506">
        <w:rPr>
          <w:rFonts w:ascii="Times New Roman" w:hAnsi="Times New Roman"/>
          <w:i/>
          <w:sz w:val="28"/>
          <w:szCs w:val="28"/>
        </w:rPr>
        <w:t>гормонозамещающей</w:t>
      </w:r>
      <w:proofErr w:type="spellEnd"/>
      <w:r w:rsidRPr="00535506">
        <w:rPr>
          <w:rFonts w:ascii="Times New Roman" w:hAnsi="Times New Roman"/>
          <w:i/>
          <w:sz w:val="28"/>
          <w:szCs w:val="28"/>
        </w:rPr>
        <w:t xml:space="preserve"> терапией</w:t>
      </w:r>
      <w:r w:rsidRPr="00535506">
        <w:rPr>
          <w:rFonts w:ascii="Times New Roman" w:hAnsi="Times New Roman"/>
          <w:sz w:val="28"/>
          <w:szCs w:val="28"/>
        </w:rPr>
        <w:t xml:space="preserve"> не изменяет влияния препарата на уровень кальция в сыворотке крови и моче, а также на клинические побочные реакции.</w:t>
      </w:r>
    </w:p>
    <w:p w14:paraId="46B76F77" w14:textId="7DDBF104" w:rsidR="00011C8F" w:rsidRPr="00535506" w:rsidRDefault="00011C8F" w:rsidP="00011C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Поскольку исследования </w:t>
      </w:r>
      <w:r w:rsidRPr="00535506">
        <w:rPr>
          <w:rFonts w:ascii="Times New Roman" w:hAnsi="Times New Roman"/>
          <w:i/>
          <w:sz w:val="28"/>
          <w:szCs w:val="28"/>
        </w:rPr>
        <w:t>совместимости</w:t>
      </w:r>
      <w:r w:rsidRPr="00535506">
        <w:rPr>
          <w:rFonts w:ascii="Times New Roman" w:hAnsi="Times New Roman"/>
          <w:sz w:val="28"/>
          <w:szCs w:val="28"/>
        </w:rPr>
        <w:t xml:space="preserve"> не проводились,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нельзя смешивать с другими лекарственными средствами</w:t>
      </w:r>
      <w:r w:rsidR="00A649CB" w:rsidRPr="00535506">
        <w:rPr>
          <w:rFonts w:ascii="Times New Roman" w:hAnsi="Times New Roman"/>
          <w:sz w:val="28"/>
          <w:szCs w:val="28"/>
        </w:rPr>
        <w:t xml:space="preserve"> от остеопороза</w:t>
      </w:r>
      <w:r w:rsidRPr="00535506">
        <w:rPr>
          <w:rFonts w:ascii="Times New Roman" w:hAnsi="Times New Roman"/>
          <w:sz w:val="28"/>
          <w:szCs w:val="28"/>
        </w:rPr>
        <w:t>.</w:t>
      </w:r>
    </w:p>
    <w:p w14:paraId="41734313" w14:textId="77777777" w:rsidR="00D43297" w:rsidRPr="00535506" w:rsidRDefault="00D43297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9B65C9C" w14:textId="77777777" w:rsidR="00011C8F" w:rsidRPr="00535506" w:rsidRDefault="00011C8F" w:rsidP="00011C8F">
      <w:pPr>
        <w:pStyle w:val="Style7"/>
        <w:widowControl/>
        <w:spacing w:line="240" w:lineRule="auto"/>
        <w:jc w:val="both"/>
        <w:rPr>
          <w:i/>
          <w:sz w:val="28"/>
          <w:szCs w:val="28"/>
          <w:lang w:bidi="ru-RU"/>
        </w:rPr>
      </w:pPr>
      <w:r w:rsidRPr="00535506">
        <w:rPr>
          <w:i/>
          <w:sz w:val="28"/>
          <w:szCs w:val="28"/>
          <w:lang w:bidi="ru-RU"/>
        </w:rPr>
        <w:t xml:space="preserve">Почечная недостаточность </w:t>
      </w:r>
    </w:p>
    <w:p w14:paraId="740B9AF8" w14:textId="1EFC98EB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Необходимо соблюдать осторожность при назначении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пациентам с умеренной почечной недостаточностью.</w:t>
      </w:r>
    </w:p>
    <w:p w14:paraId="7C45152D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lastRenderedPageBreak/>
        <w:t>Уровень кальция в сыворотке крови и в моче</w:t>
      </w:r>
    </w:p>
    <w:p w14:paraId="014A4D92" w14:textId="302C8BDE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У пациентов с нормальным уровнем кальция в сыворотке крови отмечалось небольшое и кратковременное увеличение сывороточной концентрации кальция после инъекции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Концентрации кальция в сыворотке крови достигают максимального значения в промежутке от 4 до 6 часов и возвращаются к исходному уровню в период от 16 до 24 часов после каждой дозы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Поэтому, забор крови для определения содержания кальция в крови следует производить не ранее, чем через 16 часов после последнего введения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>. Регулярное наблюдение за концентрацией кальция в сыворотке крови не требуется.</w:t>
      </w:r>
    </w:p>
    <w:p w14:paraId="1A8E9503" w14:textId="3022EA11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может привести к незначительному увеличению экскреции кальция с мочой, но частота возникновения </w:t>
      </w:r>
      <w:proofErr w:type="spellStart"/>
      <w:r w:rsidRPr="00535506">
        <w:rPr>
          <w:rFonts w:ascii="Times New Roman" w:hAnsi="Times New Roman"/>
          <w:sz w:val="28"/>
          <w:szCs w:val="28"/>
        </w:rPr>
        <w:t>гиперкальциурии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не отличается от таковой у пациентов, получавших плацебо.</w:t>
      </w:r>
    </w:p>
    <w:p w14:paraId="6AF745B1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Мочекаменная болезнь</w:t>
      </w:r>
    </w:p>
    <w:p w14:paraId="58D9AFB7" w14:textId="79BA31BE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Действие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у пациентов с активным течением мочекаменной болезни не изучалось. У пациентов с мочекаменной болезнью (острое течение или недавнее обострение)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следует применять с осторожностью из-за риска обострения данного заболевания.</w:t>
      </w:r>
    </w:p>
    <w:p w14:paraId="3236E263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Ортостатическая гипотензия</w:t>
      </w:r>
    </w:p>
    <w:p w14:paraId="7E97C0CF" w14:textId="25B1B359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При приеме препарата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могут наблюдаться редкие эпизоды кратковременной ортостатической гипотензии, которые обычно возникают в течение 4 часов после введения препарата и проходят самостоятельно в течение от нескольких минут до нескольких часов. Кратковременная ортостатическая гипотензия, возникшая при введении нескольких первых доз, ослаблялась при укладывании пациента в положении лежа на спине и не являлась противопоказанием к дальнейшему лечению.</w:t>
      </w:r>
    </w:p>
    <w:p w14:paraId="1ECCC507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Применение препарата у взрослых более молодого возраста</w:t>
      </w:r>
    </w:p>
    <w:p w14:paraId="30AF72E3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Опыт применения препарата у взрослых более молодого возраста, включая женщин в </w:t>
      </w:r>
      <w:proofErr w:type="spellStart"/>
      <w:r w:rsidRPr="00535506">
        <w:rPr>
          <w:rFonts w:ascii="Times New Roman" w:hAnsi="Times New Roman"/>
          <w:sz w:val="28"/>
          <w:szCs w:val="28"/>
        </w:rPr>
        <w:t>пременопаузе</w:t>
      </w:r>
      <w:proofErr w:type="spellEnd"/>
      <w:r w:rsidRPr="00535506">
        <w:rPr>
          <w:rFonts w:ascii="Times New Roman" w:hAnsi="Times New Roman"/>
          <w:sz w:val="28"/>
          <w:szCs w:val="28"/>
        </w:rPr>
        <w:t>, ограничен. Лечение данной группы пациентов следует начинать только в том случае, если преимущества приема препарата превосходят риски.</w:t>
      </w:r>
    </w:p>
    <w:p w14:paraId="55D74408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Содержание натрия</w:t>
      </w:r>
    </w:p>
    <w:p w14:paraId="3E59D161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Данное лекарственное средство содержит меньше 1 ммоля натрия (23 мг) на дозу, т.е. фактически может считаться "</w:t>
      </w:r>
      <w:proofErr w:type="spellStart"/>
      <w:r w:rsidRPr="00535506">
        <w:rPr>
          <w:rFonts w:ascii="Times New Roman" w:hAnsi="Times New Roman"/>
          <w:sz w:val="28"/>
          <w:szCs w:val="28"/>
        </w:rPr>
        <w:t>безнатриевым</w:t>
      </w:r>
      <w:proofErr w:type="spellEnd"/>
      <w:r w:rsidRPr="00535506">
        <w:rPr>
          <w:rFonts w:ascii="Times New Roman" w:hAnsi="Times New Roman"/>
          <w:sz w:val="28"/>
          <w:szCs w:val="28"/>
        </w:rPr>
        <w:t>".</w:t>
      </w:r>
    </w:p>
    <w:p w14:paraId="1AFDBE71" w14:textId="77777777" w:rsidR="00011C8F" w:rsidRPr="0053550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Применение в педиатрии</w:t>
      </w:r>
    </w:p>
    <w:p w14:paraId="137FAE60" w14:textId="32F1DA4D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Безопасность и эффективность применения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у лиц моложе 18 лет не установлена.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не должен применяться у детей или подростков до 18 лет с открытыми зонами роста трубчатых костей.</w:t>
      </w:r>
    </w:p>
    <w:p w14:paraId="755C1A44" w14:textId="117BFB4A" w:rsidR="00D43297" w:rsidRPr="00535506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lastRenderedPageBreak/>
        <w:t>Во время беременности или лактации</w:t>
      </w:r>
    </w:p>
    <w:p w14:paraId="1A57D58B" w14:textId="151CBC64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Женщины детородного возраста должны использовать эффективные методы контрацепции во время применения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. При наступлении беременности терапия </w:t>
      </w:r>
      <w:proofErr w:type="spellStart"/>
      <w:r w:rsidR="00895766"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="00895766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 xml:space="preserve">должна быть прекращена. Применение препарата во время беременности запрещено. Применение препарата в период кормления грудью запрещено. Неизвестно, выделяется ли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с грудным молоком.</w:t>
      </w:r>
    </w:p>
    <w:p w14:paraId="51F8FA83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  <w:lang w:val="kk-KZ"/>
        </w:rPr>
      </w:pPr>
      <w:r w:rsidRPr="00535506">
        <w:rPr>
          <w:rFonts w:ascii="Times New Roman" w:hAnsi="Times New Roman"/>
          <w:sz w:val="28"/>
          <w:szCs w:val="28"/>
          <w:lang w:val="kk-KZ"/>
        </w:rPr>
        <w:t>Были получены данные о репродуктивной токсичности. Влияние терипаратида на фетальное развитие у людей не изучалось. Величина потенциального риска для людей неизвестна.</w:t>
      </w:r>
    </w:p>
    <w:p w14:paraId="69689F15" w14:textId="77777777" w:rsidR="00FA4F7C" w:rsidRPr="00535506" w:rsidRDefault="00FA4F7C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0BB43F16" w14:textId="2AEF625A" w:rsidR="00011C8F" w:rsidRPr="00535506" w:rsidRDefault="00895766" w:rsidP="00011C8F">
      <w:pPr>
        <w:spacing w:after="0"/>
        <w:ind w:right="-17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011C8F" w:rsidRPr="00535506">
        <w:rPr>
          <w:rFonts w:ascii="Times New Roman" w:hAnsi="Times New Roman"/>
          <w:sz w:val="28"/>
          <w:szCs w:val="28"/>
        </w:rPr>
        <w:t xml:space="preserve">не оказывает или оказывает незначительное влияние на </w:t>
      </w:r>
      <w:r w:rsidR="00011C8F" w:rsidRPr="00535506">
        <w:rPr>
          <w:rFonts w:ascii="Times New Roman" w:hAnsi="Times New Roman"/>
          <w:snapToGrid w:val="0"/>
          <w:sz w:val="28"/>
          <w:szCs w:val="28"/>
        </w:rPr>
        <w:t>способность управлять транспортным средством или потенциально опасными механизмами. У некоторых пациентов отмечалась транзиторная ортостатическая гипотензия или головокружение. Этим пациентам необходимо воздержаться от управления транспортным средством или потенциально опасными механизмами до уменьшения интенсивности симптомов.</w:t>
      </w:r>
    </w:p>
    <w:p w14:paraId="6DABD68C" w14:textId="77777777" w:rsidR="007D0E84" w:rsidRPr="00535506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52A49A" w14:textId="77777777" w:rsidR="00DB406A" w:rsidRPr="0053550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181AFF1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26355CB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bookmarkStart w:id="3" w:name="2175220275"/>
      <w:bookmarkEnd w:id="2"/>
      <w:r w:rsidRPr="00535506">
        <w:rPr>
          <w:rFonts w:ascii="Times New Roman" w:hAnsi="Times New Roman"/>
          <w:sz w:val="28"/>
          <w:szCs w:val="28"/>
        </w:rPr>
        <w:t xml:space="preserve">Рекомендованная доза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составляет 20 мкг, вводится 1 раз в день подкожно в область бедра или живота.</w:t>
      </w:r>
    </w:p>
    <w:p w14:paraId="47DF3220" w14:textId="77777777" w:rsidR="00011C8F" w:rsidRPr="00535506" w:rsidRDefault="00011C8F" w:rsidP="00011C8F">
      <w:pPr>
        <w:spacing w:after="0"/>
        <w:ind w:right="-17"/>
        <w:jc w:val="both"/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</w:pP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Максимальная продолжительность лечения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составляет 24 месяца. 24-месячный курс лечения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 не должен повторяться в течение всей жизни пациента.</w:t>
      </w:r>
    </w:p>
    <w:p w14:paraId="5892C63F" w14:textId="65E264A5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Рекомендуется дополнительное назначение кальция и витамина D, если они недостаточно поступают с пищей.</w:t>
      </w:r>
    </w:p>
    <w:p w14:paraId="4CD29753" w14:textId="77777777" w:rsidR="00A649CB" w:rsidRPr="00535506" w:rsidRDefault="00A649CB" w:rsidP="00A649CB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Если вы забыли или не можете принять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в обычное время, примите его как можно скорее в тот же день. Не принимайте двойную дозу, чтобы восполнить пропущенную дозу. Не делайте более одной инъекции в один и тот же день, чтобы восполнить пропущенную дозу.</w:t>
      </w:r>
    </w:p>
    <w:p w14:paraId="4604278A" w14:textId="77777777" w:rsidR="00A649CB" w:rsidRPr="00535506" w:rsidRDefault="00A649CB" w:rsidP="00A649CB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Проконсультируйтесь со своим врачом, если вы планируете прекратить дальнейшее лечение препаратом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.</w:t>
      </w:r>
    </w:p>
    <w:p w14:paraId="11CC49D0" w14:textId="77777777" w:rsidR="00011C8F" w:rsidRPr="00535506" w:rsidRDefault="00011C8F" w:rsidP="00011C8F">
      <w:pPr>
        <w:spacing w:after="0"/>
        <w:ind w:right="-17"/>
        <w:jc w:val="both"/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</w:pPr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 xml:space="preserve">В случае перерыва в лечении препаратом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Style w:val="LabelInstructions"/>
          <w:rFonts w:ascii="Times New Roman" w:hAnsi="Times New Roman"/>
          <w:i w:val="0"/>
          <w:color w:val="auto"/>
          <w:sz w:val="28"/>
          <w:szCs w:val="28"/>
        </w:rPr>
        <w:t>, пациенты могут продолжать лечение другими препаратами.</w:t>
      </w:r>
    </w:p>
    <w:p w14:paraId="65386BC1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Особые группы пациентов</w:t>
      </w:r>
    </w:p>
    <w:p w14:paraId="1E6144AF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4" w:name="bookmark18"/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пожилого возраста</w:t>
      </w:r>
    </w:p>
    <w:p w14:paraId="1494A7DF" w14:textId="77777777" w:rsidR="00011C8F" w:rsidRPr="00535506" w:rsidRDefault="00011C8F" w:rsidP="00011C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bookmark19"/>
      <w:bookmarkEnd w:id="4"/>
      <w:r w:rsidRPr="00535506">
        <w:rPr>
          <w:rFonts w:ascii="Times New Roman" w:hAnsi="Times New Roman"/>
          <w:sz w:val="28"/>
          <w:szCs w:val="28"/>
          <w:lang w:eastAsia="ru-RU"/>
        </w:rPr>
        <w:t xml:space="preserve">Коррекция дозы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у пациентов пожилого возраста</w:t>
      </w:r>
      <w:r w:rsidRPr="00535506">
        <w:rPr>
          <w:rFonts w:ascii="Times New Roman" w:hAnsi="Times New Roman"/>
          <w:sz w:val="28"/>
          <w:szCs w:val="28"/>
          <w:lang w:eastAsia="ru-RU"/>
        </w:rPr>
        <w:t xml:space="preserve"> не требуется.</w:t>
      </w:r>
    </w:p>
    <w:p w14:paraId="25F8D5A1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lastRenderedPageBreak/>
        <w:t>Пациенты с печеночной недостаточностью</w:t>
      </w:r>
      <w:bookmarkEnd w:id="5"/>
    </w:p>
    <w:p w14:paraId="56283D21" w14:textId="77777777" w:rsidR="00011C8F" w:rsidRPr="00535506" w:rsidRDefault="00011C8F" w:rsidP="00011C8F">
      <w:pPr>
        <w:spacing w:after="0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535506">
        <w:rPr>
          <w:rFonts w:ascii="Times New Roman" w:hAnsi="Times New Roman"/>
          <w:iCs/>
          <w:sz w:val="28"/>
          <w:szCs w:val="28"/>
        </w:rPr>
        <w:t xml:space="preserve">Нет данных по применению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iCs/>
          <w:sz w:val="28"/>
          <w:szCs w:val="28"/>
        </w:rPr>
        <w:t xml:space="preserve"> у пациентов с нарушением функции печени. Необходимо соблюдать осторожность при назначении препарата пациентам с нарушением функции печени.</w:t>
      </w:r>
    </w:p>
    <w:p w14:paraId="60BE0B4E" w14:textId="77777777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6" w:name="bookmark20"/>
      <w:r w:rsidRPr="00535506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  <w:bookmarkEnd w:id="6"/>
    </w:p>
    <w:p w14:paraId="75C493E3" w14:textId="1E7C066D" w:rsidR="00011C8F" w:rsidRPr="00535506" w:rsidRDefault="00A649CB" w:rsidP="00011C8F">
      <w:pPr>
        <w:spacing w:after="0"/>
        <w:ind w:right="-19"/>
        <w:jc w:val="both"/>
        <w:rPr>
          <w:rFonts w:ascii="Times New Roman" w:hAnsi="Times New Roman"/>
          <w:iCs/>
          <w:sz w:val="28"/>
          <w:szCs w:val="28"/>
        </w:rPr>
      </w:pPr>
      <w:r w:rsidRPr="00535506">
        <w:rPr>
          <w:rFonts w:ascii="Times New Roman" w:hAnsi="Times New Roman"/>
          <w:iCs/>
          <w:sz w:val="28"/>
          <w:szCs w:val="28"/>
        </w:rPr>
        <w:t>Противопоказано п</w:t>
      </w:r>
      <w:r w:rsidR="00011C8F" w:rsidRPr="00535506">
        <w:rPr>
          <w:rFonts w:ascii="Times New Roman" w:hAnsi="Times New Roman"/>
          <w:iCs/>
          <w:sz w:val="28"/>
          <w:szCs w:val="28"/>
        </w:rPr>
        <w:t xml:space="preserve">рименение </w:t>
      </w:r>
      <w:proofErr w:type="spellStart"/>
      <w:r w:rsidR="00011C8F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="00011C8F" w:rsidRPr="00535506">
        <w:rPr>
          <w:rFonts w:ascii="Times New Roman" w:hAnsi="Times New Roman"/>
          <w:iCs/>
          <w:sz w:val="28"/>
          <w:szCs w:val="28"/>
        </w:rPr>
        <w:t xml:space="preserve"> у пациентов с тяжелой степенью почечной недостаточности. У пациентов с умеренным нарушением функции почек </w:t>
      </w:r>
      <w:proofErr w:type="spellStart"/>
      <w:r w:rsidR="00011C8F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="00011C8F" w:rsidRPr="00535506">
        <w:rPr>
          <w:rFonts w:ascii="Times New Roman" w:hAnsi="Times New Roman"/>
          <w:iCs/>
          <w:sz w:val="28"/>
          <w:szCs w:val="28"/>
        </w:rPr>
        <w:t xml:space="preserve"> следует применять с осторожностью. При легкой степени почечной недостаточности соблюдения особых мер предосторожности не требуется.</w:t>
      </w:r>
    </w:p>
    <w:p w14:paraId="5CBD8535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5355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952A0A5" w14:textId="0E73BF4B" w:rsidR="00011C8F" w:rsidRPr="00535506" w:rsidRDefault="00011C8F" w:rsidP="00011C8F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7" w:name="2175220277"/>
      <w:bookmarkEnd w:id="3"/>
      <w:r w:rsidRPr="00535506">
        <w:rPr>
          <w:rFonts w:ascii="Times New Roman" w:hAnsi="Times New Roman"/>
          <w:sz w:val="28"/>
          <w:szCs w:val="28"/>
        </w:rPr>
        <w:t xml:space="preserve">Способ применения  ручки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приведен в приложении 1 к инструкции по медицинскому применению лекарственного</w:t>
      </w:r>
      <w:r w:rsidRPr="00535506">
        <w:rPr>
          <w:rFonts w:ascii="Times New Roman" w:eastAsia="Microsoft Sans Serif" w:hAnsi="Times New Roman"/>
          <w:sz w:val="28"/>
          <w:szCs w:val="28"/>
          <w:lang w:bidi="ru-RU"/>
        </w:rPr>
        <w:t xml:space="preserve"> препарата (листок – вкладыш). </w:t>
      </w:r>
    </w:p>
    <w:p w14:paraId="3EE9C9C2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5355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86A147F" w14:textId="77777777" w:rsidR="00011C8F" w:rsidRPr="00535506" w:rsidRDefault="00011C8F" w:rsidP="00011C8F">
      <w:pPr>
        <w:tabs>
          <w:tab w:val="left" w:pos="570"/>
        </w:tabs>
        <w:spacing w:after="0"/>
        <w:ind w:right="-19"/>
        <w:jc w:val="both"/>
        <w:rPr>
          <w:rFonts w:ascii="Times New Roman" w:hAnsi="Times New Roman"/>
          <w:sz w:val="28"/>
          <w:szCs w:val="28"/>
        </w:rPr>
      </w:pPr>
      <w:bookmarkStart w:id="8" w:name="2175220278"/>
      <w:bookmarkEnd w:id="7"/>
      <w:r w:rsidRPr="00535506">
        <w:rPr>
          <w:rFonts w:ascii="Times New Roman" w:hAnsi="Times New Roman"/>
          <w:sz w:val="28"/>
          <w:szCs w:val="28"/>
        </w:rPr>
        <w:t xml:space="preserve">Ввиду недостатка клинических данных при длительном лечении </w:t>
      </w:r>
      <w:proofErr w:type="spellStart"/>
      <w:r w:rsidRPr="00535506">
        <w:rPr>
          <w:rFonts w:ascii="Times New Roman" w:hAnsi="Times New Roman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, рекомендуемые сроки терапии не должны превышать 24 месяца.</w:t>
      </w:r>
    </w:p>
    <w:p w14:paraId="28C55CCC" w14:textId="77777777" w:rsidR="005C4B12" w:rsidRPr="00535506" w:rsidRDefault="00DB406A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535506">
        <w:rPr>
          <w:rFonts w:ascii="Times New Roman" w:hAnsi="Times New Roman"/>
          <w:i/>
          <w:sz w:val="28"/>
          <w:szCs w:val="28"/>
        </w:rPr>
        <w:t xml:space="preserve"> </w:t>
      </w:r>
    </w:p>
    <w:p w14:paraId="654006B3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bCs/>
          <w:sz w:val="28"/>
          <w:szCs w:val="28"/>
        </w:rPr>
      </w:pPr>
      <w:bookmarkStart w:id="9" w:name="2175220279"/>
      <w:bookmarkEnd w:id="8"/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назначался в однократных дозировках до 100 мкг и в повторных дозах до 60 мкг/день на протяжении 6 недель.</w:t>
      </w:r>
    </w:p>
    <w:p w14:paraId="644DE38E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bCs/>
          <w:i/>
          <w:sz w:val="28"/>
          <w:szCs w:val="28"/>
        </w:rPr>
        <w:t>Признаки и симптомы</w:t>
      </w:r>
      <w:r w:rsidRPr="00535506">
        <w:rPr>
          <w:rFonts w:ascii="Times New Roman" w:hAnsi="Times New Roman"/>
          <w:iCs/>
          <w:sz w:val="28"/>
          <w:szCs w:val="28"/>
        </w:rPr>
        <w:t>: п</w:t>
      </w:r>
      <w:r w:rsidRPr="00535506">
        <w:rPr>
          <w:rFonts w:ascii="Times New Roman" w:hAnsi="Times New Roman"/>
          <w:sz w:val="28"/>
          <w:szCs w:val="28"/>
        </w:rPr>
        <w:t>ередозировка может проявляться гиперкальциемией с отсроченным началом и развитием ортостатического коллапса. Также возможны тошнота, рвота, головокружение и головная боль.</w:t>
      </w:r>
    </w:p>
    <w:p w14:paraId="1B1FB952" w14:textId="428A8AD5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Случаи передозировки, описанные в постмаркетинговых спонтанных сообщениях</w:t>
      </w:r>
      <w:r w:rsidRPr="00535506">
        <w:rPr>
          <w:rFonts w:ascii="Times New Roman" w:hAnsi="Times New Roman"/>
          <w:sz w:val="28"/>
          <w:szCs w:val="28"/>
        </w:rPr>
        <w:t xml:space="preserve">: известно о случаях ошибок в применении, при которых за один раз было введено все содержимое ручки (вплоть до 800 мкг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терипаратида</w:t>
      </w:r>
      <w:proofErr w:type="spellEnd"/>
      <w:r w:rsidRPr="00535506">
        <w:rPr>
          <w:rFonts w:ascii="Times New Roman" w:hAnsi="Times New Roman"/>
          <w:sz w:val="28"/>
          <w:szCs w:val="28"/>
        </w:rPr>
        <w:t>). Были зарегистрированы следующие кратковременные явления: тошнота, слабость/заторможенность и снижение артериального давления. В некоторых случаях при передозировке не отмечалось никаких нежелательных явлений. О случаях передозировки со смертельным исходом не сообщалось.</w:t>
      </w:r>
    </w:p>
    <w:p w14:paraId="2B15467F" w14:textId="77777777" w:rsidR="00011C8F" w:rsidRPr="00535506" w:rsidRDefault="00011C8F" w:rsidP="00011C8F">
      <w:pPr>
        <w:spacing w:after="0"/>
        <w:ind w:right="-17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bCs/>
          <w:i/>
          <w:sz w:val="28"/>
          <w:szCs w:val="28"/>
        </w:rPr>
        <w:t>Лечение</w:t>
      </w:r>
      <w:r w:rsidRPr="00535506">
        <w:rPr>
          <w:rFonts w:ascii="Times New Roman" w:hAnsi="Times New Roman"/>
          <w:iCs/>
          <w:sz w:val="28"/>
          <w:szCs w:val="28"/>
        </w:rPr>
        <w:t xml:space="preserve">: </w:t>
      </w:r>
      <w:r w:rsidRPr="00535506">
        <w:rPr>
          <w:rFonts w:ascii="Times New Roman" w:hAnsi="Times New Roman"/>
          <w:sz w:val="28"/>
          <w:szCs w:val="28"/>
        </w:rPr>
        <w:t xml:space="preserve">специального антидота не существует. При подозрении на передозировку рекомендуется временная отмена препарата </w:t>
      </w:r>
      <w:proofErr w:type="spellStart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z w:val="28"/>
          <w:szCs w:val="28"/>
        </w:rPr>
        <w:t>, контроль содержания сывороточного кальция и проведение симптоматической терапии, например, восполнение потери жидкости.</w:t>
      </w:r>
    </w:p>
    <w:bookmarkEnd w:id="9"/>
    <w:p w14:paraId="2B55AE14" w14:textId="77777777" w:rsidR="00A12563" w:rsidRPr="00535506" w:rsidRDefault="00A1256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0400B9" w14:textId="77777777" w:rsidR="001937AD" w:rsidRPr="00535506" w:rsidRDefault="001937AD" w:rsidP="00844C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2175220282"/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нежелательных реакций</w:t>
      </w:r>
      <w:r w:rsidR="005C4B12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535506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6FD33039" w14:textId="05393322" w:rsidR="00011C8F" w:rsidRPr="00535506" w:rsidRDefault="00011C8F" w:rsidP="00011C8F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Наиболее часто при приеме </w:t>
      </w:r>
      <w:proofErr w:type="spellStart"/>
      <w:r w:rsidR="008A38F8" w:rsidRPr="00535506">
        <w:rPr>
          <w:rFonts w:ascii="Times New Roman" w:hAnsi="Times New Roman"/>
          <w:snapToGrid w:val="0"/>
          <w:color w:val="000000"/>
          <w:sz w:val="28"/>
          <w:szCs w:val="28"/>
        </w:rPr>
        <w:t>СинноПар</w:t>
      </w:r>
      <w:proofErr w:type="spellEnd"/>
      <w:r w:rsidRPr="00535506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сообщалось о возникновении таких побочных реакций, как тошнота, боли в конечностях, головная боль и головокружение.</w:t>
      </w:r>
    </w:p>
    <w:p w14:paraId="13EDFF1C" w14:textId="77777777" w:rsidR="00011C8F" w:rsidRPr="00535506" w:rsidRDefault="00011C8F" w:rsidP="00011C8F">
      <w:pPr>
        <w:pStyle w:val="a8"/>
        <w:tabs>
          <w:tab w:val="left" w:pos="426"/>
        </w:tabs>
        <w:spacing w:after="0"/>
        <w:rPr>
          <w:bCs/>
          <w:i/>
          <w:iCs/>
          <w:sz w:val="28"/>
          <w:szCs w:val="28"/>
        </w:rPr>
      </w:pPr>
      <w:r w:rsidRPr="00535506">
        <w:rPr>
          <w:bCs/>
          <w:i/>
          <w:iCs/>
          <w:sz w:val="28"/>
          <w:szCs w:val="28"/>
        </w:rPr>
        <w:t>Очень часто</w:t>
      </w:r>
    </w:p>
    <w:p w14:paraId="2C608727" w14:textId="77777777" w:rsidR="00011C8F" w:rsidRPr="00535506" w:rsidRDefault="00011C8F" w:rsidP="00011C8F">
      <w:pPr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боли в конечностях</w:t>
      </w:r>
    </w:p>
    <w:p w14:paraId="0E2D9C91" w14:textId="77777777" w:rsidR="00011C8F" w:rsidRPr="00535506" w:rsidRDefault="00011C8F" w:rsidP="00011C8F">
      <w:pPr>
        <w:pStyle w:val="a8"/>
        <w:tabs>
          <w:tab w:val="left" w:pos="426"/>
        </w:tabs>
        <w:spacing w:after="0"/>
        <w:rPr>
          <w:bCs/>
          <w:i/>
          <w:iCs/>
          <w:sz w:val="28"/>
          <w:szCs w:val="28"/>
        </w:rPr>
      </w:pPr>
      <w:r w:rsidRPr="00535506">
        <w:rPr>
          <w:bCs/>
          <w:i/>
          <w:iCs/>
          <w:sz w:val="28"/>
          <w:szCs w:val="28"/>
        </w:rPr>
        <w:t>Часто</w:t>
      </w:r>
    </w:p>
    <w:p w14:paraId="06DC1F66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анемия</w:t>
      </w:r>
    </w:p>
    <w:p w14:paraId="45AD52C9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гиперхолестеринемия</w:t>
      </w:r>
      <w:proofErr w:type="spellEnd"/>
    </w:p>
    <w:p w14:paraId="254DD4D8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депрессия</w:t>
      </w:r>
    </w:p>
    <w:p w14:paraId="35EB248E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головная боль, головокружение, ишиас, обморок</w:t>
      </w:r>
    </w:p>
    <w:p w14:paraId="18E63D5F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вертиго</w:t>
      </w:r>
      <w:proofErr w:type="spellEnd"/>
    </w:p>
    <w:p w14:paraId="53CD1A8F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учащенное сердцебиение</w:t>
      </w:r>
    </w:p>
    <w:p w14:paraId="7E80D0DD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снижение артериального давления</w:t>
      </w:r>
    </w:p>
    <w:p w14:paraId="2ED9A439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о</w:t>
      </w:r>
      <w:r w:rsidRPr="00535506">
        <w:rPr>
          <w:rFonts w:ascii="Times New Roman" w:hAnsi="Times New Roman"/>
          <w:sz w:val="28"/>
          <w:szCs w:val="28"/>
          <w:lang w:val="it-IT"/>
        </w:rPr>
        <w:t>дышка</w:t>
      </w:r>
    </w:p>
    <w:p w14:paraId="6E7DF4F2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тошнота, рвота, грыжа пищеводного отверстия диафрагмы, </w:t>
      </w:r>
      <w:proofErr w:type="spellStart"/>
      <w:r w:rsidRPr="00535506">
        <w:rPr>
          <w:rFonts w:ascii="Times New Roman" w:hAnsi="Times New Roman"/>
          <w:sz w:val="28"/>
          <w:szCs w:val="28"/>
        </w:rPr>
        <w:t>гастроэзофагеальная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5506">
        <w:rPr>
          <w:rFonts w:ascii="Times New Roman" w:hAnsi="Times New Roman"/>
          <w:sz w:val="28"/>
          <w:szCs w:val="28"/>
        </w:rPr>
        <w:t>рефлюксная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болезнь</w:t>
      </w:r>
    </w:p>
    <w:p w14:paraId="712AEABC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повышенное потоотделение</w:t>
      </w:r>
    </w:p>
    <w:p w14:paraId="167C3432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мышечные спазмы</w:t>
      </w:r>
    </w:p>
    <w:p w14:paraId="35EB2C6B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слабость, боль в грудной клетке, астения, слабые и транзиторные явления в месте инъекции (в т.ч. боль, отек, эритема, локализованный кровоподтек, зуд и незначительное кровотечение в месте инъекции)</w:t>
      </w:r>
    </w:p>
    <w:p w14:paraId="1A13DEF0" w14:textId="77777777" w:rsidR="00011C8F" w:rsidRPr="00535506" w:rsidRDefault="00011C8F" w:rsidP="00011C8F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Нечасто</w:t>
      </w:r>
    </w:p>
    <w:p w14:paraId="075C5D68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тахикардия</w:t>
      </w:r>
    </w:p>
    <w:p w14:paraId="7D780571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эмфизема</w:t>
      </w:r>
    </w:p>
    <w:p w14:paraId="0075B5C4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геморрой</w:t>
      </w:r>
    </w:p>
    <w:p w14:paraId="3ECAE177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миалгия, артралгия, судороги/боль в спине (сообщалось о тяжелых случаях возникновения спазма мышц спины или боли в спине в течение нескольких минут после инъекции)</w:t>
      </w:r>
    </w:p>
    <w:p w14:paraId="08387417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недержание мочи, полиурия, болезненные позывы к мочеиспусканию, нефролитиаз</w:t>
      </w:r>
    </w:p>
    <w:p w14:paraId="78CA5DD5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эритема в месте инъекции, реакция в месте инъекции</w:t>
      </w:r>
    </w:p>
    <w:p w14:paraId="067EBF86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гиперкальциемия более 2.76 ммоль/л</w:t>
      </w:r>
    </w:p>
    <w:p w14:paraId="478636FE" w14:textId="77777777" w:rsidR="00011C8F" w:rsidRPr="00535506" w:rsidRDefault="00011C8F" w:rsidP="00011C8F">
      <w:pPr>
        <w:numPr>
          <w:ilvl w:val="0"/>
          <w:numId w:val="29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гиперурикемия</w:t>
      </w:r>
      <w:proofErr w:type="spellEnd"/>
    </w:p>
    <w:p w14:paraId="02F89AC6" w14:textId="77777777" w:rsidR="00011C8F" w:rsidRPr="00535506" w:rsidRDefault="00011C8F" w:rsidP="00011C8F">
      <w:pPr>
        <w:numPr>
          <w:ilvl w:val="0"/>
          <w:numId w:val="28"/>
        </w:numPr>
        <w:tabs>
          <w:tab w:val="clear" w:pos="567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увеличение веса, сердечный шум, увеличение щелочной фосфатазы</w:t>
      </w:r>
    </w:p>
    <w:p w14:paraId="16565202" w14:textId="77777777" w:rsidR="00011C8F" w:rsidRPr="00535506" w:rsidRDefault="00011C8F" w:rsidP="00011C8F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35506">
        <w:rPr>
          <w:rFonts w:ascii="Times New Roman" w:hAnsi="Times New Roman"/>
          <w:i/>
          <w:sz w:val="28"/>
          <w:szCs w:val="28"/>
        </w:rPr>
        <w:t>Редко</w:t>
      </w:r>
    </w:p>
    <w:p w14:paraId="0894D36D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гиперкальциемия выше 3.25 ммоль/л</w:t>
      </w:r>
    </w:p>
    <w:p w14:paraId="507FA5A8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анафилаксия</w:t>
      </w:r>
    </w:p>
    <w:p w14:paraId="4C030C8D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почечная недостаточность/нарушение функции почек</w:t>
      </w:r>
    </w:p>
    <w:p w14:paraId="2C0553FE" w14:textId="77777777" w:rsidR="00011C8F" w:rsidRPr="00535506" w:rsidRDefault="00011C8F" w:rsidP="00011C8F">
      <w:pPr>
        <w:numPr>
          <w:ilvl w:val="0"/>
          <w:numId w:val="30"/>
        </w:numPr>
        <w:tabs>
          <w:tab w:val="clear" w:pos="567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lastRenderedPageBreak/>
        <w:t>возможно возникновение аллергических реакций вскоре после инъекции, включая острую одышку, отек ротовой полости/лица, генерализованная крапивница, боль в грудной клетке, отеки (в основном периферические).</w:t>
      </w:r>
    </w:p>
    <w:p w14:paraId="0A530E02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AE083" w14:textId="7C84B650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5506">
        <w:rPr>
          <w:rFonts w:ascii="Times New Roman" w:hAnsi="Times New Roman"/>
          <w:sz w:val="28"/>
          <w:szCs w:val="28"/>
          <w:u w:val="single"/>
        </w:rPr>
        <w:t xml:space="preserve">Описание отдельных побочных реакций </w:t>
      </w:r>
    </w:p>
    <w:p w14:paraId="03B3CA46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>В клинических исследованиях сообщалось о следующих реакциях с частотой ≥ 1 % по сравнению с плацебо: головокружение, тошнота, боль в конечностях, головокружение, депрессия, одышка.</w:t>
      </w:r>
    </w:p>
    <w:p w14:paraId="23639A40" w14:textId="77777777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повышает концентрацию мочевой кислоты в сыворотке крови. В клинических исследованиях 2,8 % пациентов с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имели концентрацию мочевой кислоты в сыворотке крови выше верхней границы нормы по сравнению с 0,7 % пациентов с плацебо. Однако </w:t>
      </w:r>
      <w:proofErr w:type="spellStart"/>
      <w:r w:rsidRPr="00535506">
        <w:rPr>
          <w:rFonts w:ascii="Times New Roman" w:hAnsi="Times New Roman"/>
          <w:sz w:val="28"/>
          <w:szCs w:val="28"/>
        </w:rPr>
        <w:t>гиперурикемия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 не приводила к увеличению подагры, артралгии или мочекаменной болезни.</w:t>
      </w:r>
    </w:p>
    <w:p w14:paraId="6B7CC1DF" w14:textId="2F4D086B" w:rsidR="007E1A7B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В крупном клиническом исследовании антитела, перекрестно реагирующие с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Терипаратидом</w:t>
      </w:r>
      <w:proofErr w:type="spellEnd"/>
      <w:r w:rsidRPr="00535506">
        <w:rPr>
          <w:rFonts w:ascii="Times New Roman" w:hAnsi="Times New Roman"/>
          <w:sz w:val="28"/>
          <w:szCs w:val="28"/>
        </w:rPr>
        <w:t xml:space="preserve">, были обнаружены у 2,8 % женщин, получавших </w:t>
      </w:r>
      <w:proofErr w:type="spellStart"/>
      <w:r w:rsidRPr="00535506">
        <w:rPr>
          <w:rFonts w:ascii="Times New Roman" w:hAnsi="Times New Roman"/>
          <w:sz w:val="28"/>
          <w:szCs w:val="28"/>
        </w:rPr>
        <w:t>Терипаратид</w:t>
      </w:r>
      <w:proofErr w:type="spellEnd"/>
      <w:r w:rsidRPr="00535506">
        <w:rPr>
          <w:rFonts w:ascii="Times New Roman" w:hAnsi="Times New Roman"/>
          <w:sz w:val="28"/>
          <w:szCs w:val="28"/>
        </w:rPr>
        <w:t>. Как правило, антитела были впервые обнаружены после 12 месяцев лечения и уменьшились после отмены терапии. Не было никаких свидетельств реакций гиперчувствительности, аллергических реакций, влияния на сывороточный кальций или влияния на реакцию минеральной плотности костной ткани (МПКТ).</w:t>
      </w:r>
    </w:p>
    <w:p w14:paraId="3948B25C" w14:textId="34EF43D2" w:rsidR="008A38F8" w:rsidRPr="00535506" w:rsidRDefault="008A38F8" w:rsidP="008A38F8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CEC88A" w14:textId="51AE3427" w:rsidR="00827BB2" w:rsidRPr="00535506" w:rsidRDefault="00827BB2" w:rsidP="00844CE8">
      <w:pPr>
        <w:pStyle w:val="ab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35506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535506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535506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535506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5355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6F03525" w14:textId="0739AB69" w:rsidR="006703A5" w:rsidRPr="00535506" w:rsidRDefault="006703A5" w:rsidP="0095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951974" w:rsidRPr="00535506">
        <w:rPr>
          <w:rFonts w:ascii="Times New Roman" w:hAnsi="Times New Roman"/>
          <w:sz w:val="28"/>
          <w:szCs w:val="28"/>
          <w:lang w:val="kk-KZ"/>
        </w:rPr>
        <w:t xml:space="preserve">Комитет </w:t>
      </w:r>
      <w:r w:rsidR="00951974" w:rsidRPr="00535506">
        <w:rPr>
          <w:rFonts w:ascii="Times New Roman" w:hAnsi="Times New Roman"/>
          <w:sz w:val="28"/>
          <w:szCs w:val="28"/>
        </w:rPr>
        <w:t>медицинского и</w:t>
      </w:r>
      <w:r w:rsidR="00951974" w:rsidRPr="0053550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1974" w:rsidRPr="00535506">
        <w:rPr>
          <w:rFonts w:ascii="Times New Roman" w:hAnsi="Times New Roman"/>
          <w:sz w:val="28"/>
          <w:szCs w:val="28"/>
        </w:rPr>
        <w:t>фармацевтического контроля</w:t>
      </w:r>
      <w:r w:rsidR="005779DE" w:rsidRPr="00535506">
        <w:rPr>
          <w:rFonts w:ascii="Times New Roman" w:hAnsi="Times New Roman"/>
          <w:sz w:val="28"/>
          <w:szCs w:val="28"/>
        </w:rPr>
        <w:t xml:space="preserve"> </w:t>
      </w:r>
      <w:r w:rsidRPr="00535506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68338C34" w14:textId="77777777" w:rsidR="006703A5" w:rsidRPr="00535506" w:rsidRDefault="00AA2013" w:rsidP="006703A5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://</w:t>
        </w:r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53550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535506">
          <w:rPr>
            <w:rStyle w:val="ae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1C9696D6" w14:textId="77777777" w:rsidR="006703A5" w:rsidRPr="00535506" w:rsidRDefault="006703A5" w:rsidP="00844CE8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255174" w14:textId="77777777" w:rsidR="000C2C4B" w:rsidRPr="00535506" w:rsidRDefault="000C2C4B" w:rsidP="00844CE8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AB2B472" w14:textId="77777777" w:rsidR="006B7A90" w:rsidRPr="00535506" w:rsidRDefault="00844CE8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1" w:name="2175220285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DA36C13" w14:textId="77777777" w:rsidR="00011C8F" w:rsidRPr="00535506" w:rsidRDefault="00011C8F" w:rsidP="00011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2" w:name="2175220286"/>
      <w:bookmarkEnd w:id="11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мл раствора содержит </w:t>
      </w:r>
    </w:p>
    <w:p w14:paraId="31760CDD" w14:textId="77777777" w:rsidR="00011C8F" w:rsidRPr="00535506" w:rsidRDefault="00011C8F" w:rsidP="00011C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- </w:t>
      </w:r>
      <w:proofErr w:type="spellStart"/>
      <w:r w:rsidRPr="005355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терипаратид</w:t>
      </w:r>
      <w:proofErr w:type="spellEnd"/>
      <w:r w:rsidRPr="005355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250 мкг</w:t>
      </w:r>
    </w:p>
    <w:p w14:paraId="543C20A0" w14:textId="77777777" w:rsidR="008A38F8" w:rsidRPr="00535506" w:rsidRDefault="006B7A90" w:rsidP="008A38F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35506">
        <w:rPr>
          <w:rFonts w:ascii="Times New Roman" w:hAnsi="Times New Roman"/>
          <w:i/>
          <w:iCs/>
          <w:sz w:val="28"/>
          <w:szCs w:val="28"/>
        </w:rPr>
        <w:t>вспомогательн</w:t>
      </w:r>
      <w:r w:rsidR="008A38F8" w:rsidRPr="00535506">
        <w:rPr>
          <w:rFonts w:ascii="Times New Roman" w:hAnsi="Times New Roman"/>
          <w:i/>
          <w:iCs/>
          <w:sz w:val="28"/>
          <w:szCs w:val="28"/>
        </w:rPr>
        <w:t>ы</w:t>
      </w:r>
      <w:r w:rsidRPr="00535506">
        <w:rPr>
          <w:rFonts w:ascii="Times New Roman" w:hAnsi="Times New Roman"/>
          <w:i/>
          <w:iCs/>
          <w:sz w:val="28"/>
          <w:szCs w:val="28"/>
        </w:rPr>
        <w:t>е веществ</w:t>
      </w:r>
      <w:r w:rsidR="008A38F8" w:rsidRPr="00535506">
        <w:rPr>
          <w:rFonts w:ascii="Times New Roman" w:hAnsi="Times New Roman"/>
          <w:i/>
          <w:iCs/>
          <w:sz w:val="28"/>
          <w:szCs w:val="28"/>
        </w:rPr>
        <w:t>а</w:t>
      </w:r>
      <w:r w:rsidRPr="00535506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="008A38F8" w:rsidRPr="00535506">
        <w:rPr>
          <w:rFonts w:ascii="Times New Roman" w:hAnsi="Times New Roman"/>
          <w:iCs/>
          <w:sz w:val="28"/>
          <w:szCs w:val="28"/>
          <w:lang w:eastAsia="ru-RU"/>
        </w:rPr>
        <w:t xml:space="preserve">маннитол, натрия ацетат (безводный), кислота уксусная ледяная, мета- крезол, вода для инъекций </w:t>
      </w:r>
    </w:p>
    <w:p w14:paraId="124A42F6" w14:textId="77777777" w:rsidR="006B7A90" w:rsidRPr="00535506" w:rsidRDefault="006B7A90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2"/>
    <w:p w14:paraId="7E3190B3" w14:textId="77777777" w:rsidR="008A38F8" w:rsidRPr="00535506" w:rsidRDefault="008A38F8" w:rsidP="008A38F8">
      <w:pPr>
        <w:pStyle w:val="Default"/>
        <w:jc w:val="both"/>
        <w:rPr>
          <w:spacing w:val="-4"/>
          <w:sz w:val="28"/>
          <w:szCs w:val="28"/>
        </w:rPr>
      </w:pPr>
      <w:r w:rsidRPr="00535506">
        <w:rPr>
          <w:sz w:val="28"/>
          <w:szCs w:val="28"/>
        </w:rPr>
        <w:t>Прозрачный бесцветный раствор</w:t>
      </w:r>
      <w:r w:rsidRPr="00535506">
        <w:rPr>
          <w:spacing w:val="-4"/>
          <w:sz w:val="28"/>
          <w:szCs w:val="28"/>
        </w:rPr>
        <w:t xml:space="preserve"> </w:t>
      </w:r>
    </w:p>
    <w:p w14:paraId="45F78958" w14:textId="77777777" w:rsidR="006B7A90" w:rsidRPr="00535506" w:rsidRDefault="006B7A90" w:rsidP="00844CE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5CD4BA" w14:textId="7DFE7643" w:rsidR="00C9308C" w:rsidRPr="00535506" w:rsidRDefault="00C9308C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2175220287"/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3FCB729A" w14:textId="3ECEED0A" w:rsidR="00AD2CD6" w:rsidRPr="00535506" w:rsidRDefault="00AD2CD6" w:rsidP="00AD2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2.4 мл (28 доз) препарата помещают в картридж из бесцветного боросиликатного стекла (тип I) вместимостью 3 мл, укупоренный с одной </w:t>
      </w: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стороны резиновым (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бромбутиловым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поршнем, с другой стороны – ламинированным резиновым диском под алюминиевой обкаткой. Картридж устанавливают в 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мультидозовую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одноразовую ручку BD </w:t>
      </w:r>
      <w:proofErr w:type="spellStart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Vystra</w:t>
      </w:r>
      <w:proofErr w:type="spellEnd"/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® для многократных инъекций. На ручку наклеивают бумажную самоклеящуюся этикетку.</w:t>
      </w:r>
    </w:p>
    <w:p w14:paraId="3A8E2FA6" w14:textId="73EF16EB" w:rsidR="0068640A" w:rsidRPr="004A7BEB" w:rsidRDefault="0068640A" w:rsidP="0068640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1 </w:t>
      </w:r>
      <w:proofErr w:type="spellStart"/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мультидозовой</w:t>
      </w:r>
      <w:proofErr w:type="spellEnd"/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одноразовой ручке для многократных инъекций вместе с инструкцией по медицинскому применению на казахском и русском языках помещают в картонную </w:t>
      </w:r>
      <w:r w:rsidR="00283AED">
        <w:rPr>
          <w:rFonts w:ascii="Times New Roman" w:eastAsia="Times New Roman" w:hAnsi="Times New Roman"/>
          <w:bCs/>
          <w:sz w:val="28"/>
          <w:szCs w:val="28"/>
          <w:lang w:val="ru-KZ" w:eastAsia="ru-RU"/>
        </w:rPr>
        <w:t xml:space="preserve">(треугольную) </w:t>
      </w:r>
      <w:r w:rsidRPr="004A7BEB">
        <w:rPr>
          <w:rFonts w:ascii="Times New Roman" w:eastAsia="Times New Roman" w:hAnsi="Times New Roman"/>
          <w:bCs/>
          <w:sz w:val="28"/>
          <w:szCs w:val="28"/>
          <w:lang w:eastAsia="ru-RU"/>
        </w:rPr>
        <w:t>пачку с контролем первого вскрытия в виде стикера-голограммы.</w:t>
      </w:r>
    </w:p>
    <w:p w14:paraId="73BBA12A" w14:textId="327C5213" w:rsidR="00AD2CD6" w:rsidRDefault="00283AED" w:rsidP="00AD2CD6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83AE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По 6 индивидуальных картонных пачек помещают в картонную (шестигранную) коробку.</w:t>
      </w:r>
    </w:p>
    <w:p w14:paraId="66656057" w14:textId="77777777" w:rsidR="00283AED" w:rsidRPr="00535506" w:rsidRDefault="00283AED" w:rsidP="00AD2CD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4" w:name="_GoBack"/>
      <w:bookmarkEnd w:id="14"/>
    </w:p>
    <w:p w14:paraId="3859C2A8" w14:textId="77777777" w:rsidR="00844CE8" w:rsidRPr="00535506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68D6DC3" w14:textId="7695D7C9" w:rsidR="00D14D61" w:rsidRPr="00535506" w:rsidRDefault="008A38F8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2 года</w:t>
      </w:r>
    </w:p>
    <w:p w14:paraId="6D843C05" w14:textId="041EC62F" w:rsidR="00F558B2" w:rsidRPr="00535506" w:rsidRDefault="00F558B2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После первого вскрытия препарат следует хранить не более 28 дней.</w:t>
      </w:r>
    </w:p>
    <w:p w14:paraId="5AB8BDA9" w14:textId="77777777" w:rsidR="000E01AB" w:rsidRPr="00535506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53550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53550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535506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C50E4D7" w14:textId="77777777" w:rsidR="000E01AB" w:rsidRPr="00535506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5" w:name="2175220288"/>
      <w:bookmarkEnd w:id="13"/>
      <w:r w:rsidRPr="0053550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69D0CDF5" w14:textId="0F941AFB" w:rsidR="008A38F8" w:rsidRPr="00535506" w:rsidRDefault="008A38F8" w:rsidP="008A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Хранить при температуре от 2 °С до 8 °С. </w:t>
      </w:r>
    </w:p>
    <w:p w14:paraId="6F570194" w14:textId="77777777" w:rsidR="00F558B2" w:rsidRPr="00535506" w:rsidRDefault="00F558B2" w:rsidP="00F558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5506">
        <w:rPr>
          <w:rFonts w:ascii="Times New Roman" w:hAnsi="Times New Roman"/>
          <w:bCs/>
          <w:sz w:val="28"/>
          <w:szCs w:val="28"/>
        </w:rPr>
        <w:t xml:space="preserve">После первого вскрытия препарат следует хранить при температуре от 2 </w:t>
      </w:r>
      <w:proofErr w:type="spellStart"/>
      <w:r w:rsidRPr="00535506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35506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535506">
        <w:rPr>
          <w:rFonts w:ascii="Times New Roman" w:hAnsi="Times New Roman"/>
          <w:bCs/>
          <w:sz w:val="28"/>
          <w:szCs w:val="28"/>
        </w:rPr>
        <w:t xml:space="preserve"> до 8 </w:t>
      </w:r>
      <w:proofErr w:type="spellStart"/>
      <w:r w:rsidRPr="00535506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535506">
        <w:rPr>
          <w:rFonts w:ascii="Times New Roman" w:hAnsi="Times New Roman"/>
          <w:bCs/>
          <w:sz w:val="28"/>
          <w:szCs w:val="28"/>
        </w:rPr>
        <w:t>С</w:t>
      </w:r>
      <w:proofErr w:type="spellEnd"/>
      <w:r w:rsidRPr="00535506">
        <w:rPr>
          <w:rFonts w:ascii="Times New Roman" w:hAnsi="Times New Roman"/>
          <w:bCs/>
          <w:sz w:val="28"/>
          <w:szCs w:val="28"/>
        </w:rPr>
        <w:t xml:space="preserve"> (в холодильнике). Не замораживать! </w:t>
      </w:r>
    </w:p>
    <w:p w14:paraId="670BA0B5" w14:textId="77777777" w:rsidR="008A38F8" w:rsidRPr="00535506" w:rsidRDefault="008A38F8" w:rsidP="008A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506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</w:p>
    <w:bookmarkEnd w:id="15"/>
    <w:p w14:paraId="4C1F83B7" w14:textId="77777777" w:rsidR="008A38F8" w:rsidRPr="00535506" w:rsidRDefault="008A38F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B340633" w14:textId="77777777" w:rsidR="008A38F8" w:rsidRPr="00535506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50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24CFD087" w14:textId="6578E965" w:rsidR="006C6558" w:rsidRPr="00535506" w:rsidRDefault="008A38F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35506">
        <w:rPr>
          <w:rFonts w:ascii="Times New Roman" w:hAnsi="Times New Roman"/>
          <w:color w:val="000000"/>
          <w:sz w:val="28"/>
          <w:szCs w:val="28"/>
        </w:rPr>
        <w:t>П</w:t>
      </w:r>
      <w:r w:rsidR="006C6558" w:rsidRPr="00535506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537FA182" w14:textId="77777777" w:rsidR="006C6558" w:rsidRPr="00535506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63E997" w14:textId="77777777" w:rsidR="006B7A90" w:rsidRPr="00535506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18D0DD5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bookmarkStart w:id="16" w:name="_Hlk58784256"/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CinnaGen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Co</w:t>
      </w:r>
      <w:r w:rsidRPr="00535506">
        <w:rPr>
          <w:rFonts w:eastAsia="Microsoft Sans Serif"/>
          <w:sz w:val="28"/>
          <w:szCs w:val="28"/>
          <w:lang w:bidi="ru-RU"/>
        </w:rPr>
        <w:t>.</w:t>
      </w:r>
    </w:p>
    <w:p w14:paraId="3B5872FB" w14:textId="23C9073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3</w:t>
      </w:r>
      <w:proofErr w:type="spellStart"/>
      <w:r w:rsidRPr="00535506">
        <w:rPr>
          <w:rFonts w:eastAsia="Microsoft Sans Serif"/>
          <w:sz w:val="28"/>
          <w:szCs w:val="28"/>
          <w:vertAlign w:val="superscript"/>
          <w:lang w:val="en-US" w:bidi="ru-RU"/>
        </w:rPr>
        <w:t>rd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Sq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.,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Simin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Dasht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Industrial</w:t>
      </w:r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Area</w:t>
      </w:r>
      <w:r w:rsidRPr="00535506">
        <w:rPr>
          <w:rFonts w:eastAsia="Microsoft Sans Serif"/>
          <w:sz w:val="28"/>
          <w:szCs w:val="28"/>
          <w:lang w:bidi="ru-RU"/>
        </w:rPr>
        <w:t>, Карадж, Альб</w:t>
      </w:r>
      <w:r w:rsidR="00A649CB" w:rsidRPr="00535506">
        <w:rPr>
          <w:rFonts w:eastAsia="Microsoft Sans Serif"/>
          <w:sz w:val="28"/>
          <w:szCs w:val="28"/>
          <w:lang w:bidi="ru-RU"/>
        </w:rPr>
        <w:t>о</w:t>
      </w:r>
      <w:r w:rsidRPr="00535506">
        <w:rPr>
          <w:rFonts w:eastAsia="Microsoft Sans Serif"/>
          <w:sz w:val="28"/>
          <w:szCs w:val="28"/>
          <w:lang w:bidi="ru-RU"/>
        </w:rPr>
        <w:t>рз, Исламская Республика Иран</w:t>
      </w:r>
    </w:p>
    <w:p w14:paraId="4B3FCF6A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телефон: +98 263667 0334</w:t>
      </w:r>
    </w:p>
    <w:p w14:paraId="6A04F33E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факс: +98 263667 0337</w:t>
      </w:r>
    </w:p>
    <w:p w14:paraId="5AF47447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 xml:space="preserve">электронная почта: </w:t>
      </w:r>
      <w:hyperlink r:id="rId9" w:history="1"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@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.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com</w:t>
        </w:r>
      </w:hyperlink>
    </w:p>
    <w:bookmarkEnd w:id="16"/>
    <w:p w14:paraId="1A57EAE4" w14:textId="77777777" w:rsidR="00D76048" w:rsidRPr="00535506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6F1DB111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CinnaGen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Co</w:t>
      </w:r>
      <w:r w:rsidRPr="00535506">
        <w:rPr>
          <w:rFonts w:eastAsia="Microsoft Sans Serif"/>
          <w:sz w:val="28"/>
          <w:szCs w:val="28"/>
          <w:lang w:bidi="ru-RU"/>
        </w:rPr>
        <w:t>.</w:t>
      </w:r>
    </w:p>
    <w:p w14:paraId="611EBAE1" w14:textId="4E6F4D6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3</w:t>
      </w:r>
      <w:proofErr w:type="spellStart"/>
      <w:r w:rsidRPr="00535506">
        <w:rPr>
          <w:rFonts w:eastAsia="Microsoft Sans Serif"/>
          <w:sz w:val="28"/>
          <w:szCs w:val="28"/>
          <w:vertAlign w:val="superscript"/>
          <w:lang w:val="en-US" w:bidi="ru-RU"/>
        </w:rPr>
        <w:t>rd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Sq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.,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Simin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535506">
        <w:rPr>
          <w:rFonts w:eastAsia="Microsoft Sans Serif"/>
          <w:sz w:val="28"/>
          <w:szCs w:val="28"/>
          <w:lang w:val="en-US" w:bidi="ru-RU"/>
        </w:rPr>
        <w:t>Dasht</w:t>
      </w:r>
      <w:proofErr w:type="spellEnd"/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Industrial</w:t>
      </w:r>
      <w:r w:rsidRPr="00535506">
        <w:rPr>
          <w:rFonts w:eastAsia="Microsoft Sans Serif"/>
          <w:sz w:val="28"/>
          <w:szCs w:val="28"/>
          <w:lang w:bidi="ru-RU"/>
        </w:rPr>
        <w:t xml:space="preserve"> </w:t>
      </w:r>
      <w:r w:rsidRPr="00535506">
        <w:rPr>
          <w:rFonts w:eastAsia="Microsoft Sans Serif"/>
          <w:sz w:val="28"/>
          <w:szCs w:val="28"/>
          <w:lang w:val="en-US" w:bidi="ru-RU"/>
        </w:rPr>
        <w:t>Area</w:t>
      </w:r>
      <w:r w:rsidRPr="00535506">
        <w:rPr>
          <w:rFonts w:eastAsia="Microsoft Sans Serif"/>
          <w:sz w:val="28"/>
          <w:szCs w:val="28"/>
          <w:lang w:bidi="ru-RU"/>
        </w:rPr>
        <w:t>, Карадж, Альб</w:t>
      </w:r>
      <w:r w:rsidR="00A649CB" w:rsidRPr="00535506">
        <w:rPr>
          <w:rFonts w:eastAsia="Microsoft Sans Serif"/>
          <w:sz w:val="28"/>
          <w:szCs w:val="28"/>
          <w:lang w:bidi="ru-RU"/>
        </w:rPr>
        <w:t>о</w:t>
      </w:r>
      <w:r w:rsidRPr="00535506">
        <w:rPr>
          <w:rFonts w:eastAsia="Microsoft Sans Serif"/>
          <w:sz w:val="28"/>
          <w:szCs w:val="28"/>
          <w:lang w:bidi="ru-RU"/>
        </w:rPr>
        <w:t>рз, Исламская Республика Иран</w:t>
      </w:r>
    </w:p>
    <w:p w14:paraId="72F4448B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телефон: +98 263667 0334</w:t>
      </w:r>
    </w:p>
    <w:p w14:paraId="1FF67D89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>факс: +98 263667 0337</w:t>
      </w:r>
    </w:p>
    <w:p w14:paraId="4E3AC01E" w14:textId="77777777" w:rsidR="008A38F8" w:rsidRPr="00535506" w:rsidRDefault="008A38F8" w:rsidP="008A38F8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535506">
        <w:rPr>
          <w:rFonts w:eastAsia="Microsoft Sans Serif"/>
          <w:sz w:val="28"/>
          <w:szCs w:val="28"/>
          <w:lang w:bidi="ru-RU"/>
        </w:rPr>
        <w:t xml:space="preserve">электронная почта: </w:t>
      </w:r>
      <w:hyperlink r:id="rId10" w:history="1"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@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cinnagen</w:t>
        </w:r>
        <w:r w:rsidRPr="00535506">
          <w:rPr>
            <w:rStyle w:val="ae"/>
            <w:rFonts w:eastAsia="Microsoft Sans Serif"/>
            <w:sz w:val="28"/>
            <w:szCs w:val="28"/>
            <w:lang w:bidi="ru-RU"/>
          </w:rPr>
          <w:t>.</w:t>
        </w:r>
        <w:r w:rsidRPr="00535506">
          <w:rPr>
            <w:rStyle w:val="ae"/>
            <w:rFonts w:eastAsia="Microsoft Sans Serif"/>
            <w:sz w:val="28"/>
            <w:szCs w:val="28"/>
            <w:lang w:val="en-US" w:bidi="ru-RU"/>
          </w:rPr>
          <w:t>com</w:t>
        </w:r>
      </w:hyperlink>
    </w:p>
    <w:p w14:paraId="2805FB5E" w14:textId="1D991766" w:rsidR="00891711" w:rsidRPr="00535506" w:rsidRDefault="00F8747E" w:rsidP="00891711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535506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535506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r w:rsidR="007E5B48" w:rsidRPr="00535506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535506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535506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3D6624D7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  <w:lang w:val="de-DE"/>
        </w:rPr>
      </w:pPr>
      <w:bookmarkStart w:id="17" w:name="_Hlk55300091"/>
      <w:r w:rsidRPr="00535506">
        <w:rPr>
          <w:color w:val="auto"/>
          <w:sz w:val="28"/>
          <w:szCs w:val="28"/>
          <w:lang w:val="uk-UA"/>
        </w:rPr>
        <w:lastRenderedPageBreak/>
        <w:t>ТОО</w:t>
      </w:r>
      <w:r w:rsidRPr="00535506">
        <w:rPr>
          <w:color w:val="auto"/>
          <w:sz w:val="28"/>
          <w:szCs w:val="28"/>
          <w:lang w:val="de-DE"/>
        </w:rPr>
        <w:t xml:space="preserve"> «</w:t>
      </w:r>
      <w:proofErr w:type="spellStart"/>
      <w:r w:rsidRPr="00535506">
        <w:rPr>
          <w:color w:val="auto"/>
          <w:sz w:val="28"/>
          <w:szCs w:val="28"/>
          <w:lang w:val="de-DE"/>
        </w:rPr>
        <w:t>Saa</w:t>
      </w:r>
      <w:proofErr w:type="spellEnd"/>
      <w:r w:rsidRPr="00535506">
        <w:rPr>
          <w:color w:val="auto"/>
          <w:sz w:val="28"/>
          <w:szCs w:val="28"/>
          <w:lang w:val="de-DE"/>
        </w:rPr>
        <w:t xml:space="preserve"> </w:t>
      </w:r>
      <w:proofErr w:type="spellStart"/>
      <w:r w:rsidRPr="00535506">
        <w:rPr>
          <w:color w:val="auto"/>
          <w:sz w:val="28"/>
          <w:szCs w:val="28"/>
          <w:lang w:val="de-DE"/>
        </w:rPr>
        <w:t>Pharma</w:t>
      </w:r>
      <w:proofErr w:type="spellEnd"/>
      <w:r w:rsidRPr="00535506">
        <w:rPr>
          <w:color w:val="auto"/>
          <w:sz w:val="28"/>
          <w:szCs w:val="28"/>
          <w:lang w:val="de-DE"/>
        </w:rPr>
        <w:t xml:space="preserve">», </w:t>
      </w:r>
    </w:p>
    <w:p w14:paraId="12A0104B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</w:rPr>
      </w:pPr>
      <w:r w:rsidRPr="00535506">
        <w:rPr>
          <w:color w:val="auto"/>
          <w:sz w:val="28"/>
          <w:szCs w:val="28"/>
          <w:lang w:val="de-DE"/>
        </w:rPr>
        <w:t xml:space="preserve">050010, </w:t>
      </w:r>
      <w:r w:rsidRPr="00535506">
        <w:rPr>
          <w:color w:val="auto"/>
          <w:sz w:val="28"/>
          <w:szCs w:val="28"/>
          <w:lang w:val="uk-UA"/>
        </w:rPr>
        <w:t>г</w:t>
      </w:r>
      <w:r w:rsidRPr="00535506">
        <w:rPr>
          <w:color w:val="auto"/>
          <w:sz w:val="28"/>
          <w:szCs w:val="28"/>
          <w:lang w:val="de-DE"/>
        </w:rPr>
        <w:t xml:space="preserve">. </w:t>
      </w:r>
      <w:r w:rsidRPr="00535506">
        <w:rPr>
          <w:color w:val="auto"/>
          <w:sz w:val="28"/>
          <w:szCs w:val="28"/>
          <w:lang w:val="uk-UA"/>
        </w:rPr>
        <w:t>Алматы</w:t>
      </w:r>
      <w:r w:rsidRPr="00535506">
        <w:rPr>
          <w:color w:val="auto"/>
          <w:sz w:val="28"/>
          <w:szCs w:val="28"/>
          <w:lang w:val="de-DE"/>
        </w:rPr>
        <w:t xml:space="preserve">, </w:t>
      </w:r>
      <w:r w:rsidRPr="00535506">
        <w:rPr>
          <w:color w:val="auto"/>
          <w:sz w:val="28"/>
          <w:szCs w:val="28"/>
          <w:lang w:val="uk-UA"/>
        </w:rPr>
        <w:t>пр</w:t>
      </w:r>
      <w:r w:rsidRPr="00535506">
        <w:rPr>
          <w:color w:val="auto"/>
          <w:sz w:val="28"/>
          <w:szCs w:val="28"/>
          <w:lang w:val="de-DE"/>
        </w:rPr>
        <w:t xml:space="preserve">. </w:t>
      </w:r>
      <w:proofErr w:type="spellStart"/>
      <w:r w:rsidRPr="00535506">
        <w:rPr>
          <w:color w:val="auto"/>
          <w:sz w:val="28"/>
          <w:szCs w:val="28"/>
        </w:rPr>
        <w:t>Достык</w:t>
      </w:r>
      <w:proofErr w:type="spellEnd"/>
      <w:r w:rsidRPr="00535506">
        <w:rPr>
          <w:color w:val="auto"/>
          <w:sz w:val="28"/>
          <w:szCs w:val="28"/>
        </w:rPr>
        <w:t xml:space="preserve">, 38, оф. № 705, Бизнес центр KDC, </w:t>
      </w:r>
    </w:p>
    <w:p w14:paraId="219DCBF7" w14:textId="77777777" w:rsidR="008A38F8" w:rsidRPr="00535506" w:rsidRDefault="008A38F8" w:rsidP="008A38F8">
      <w:pPr>
        <w:pStyle w:val="Default"/>
        <w:jc w:val="both"/>
        <w:rPr>
          <w:color w:val="auto"/>
          <w:sz w:val="28"/>
          <w:szCs w:val="28"/>
        </w:rPr>
      </w:pPr>
      <w:r w:rsidRPr="00535506">
        <w:rPr>
          <w:sz w:val="28"/>
          <w:szCs w:val="28"/>
          <w:lang w:val="kk-KZ"/>
        </w:rPr>
        <w:t>Телефон:</w:t>
      </w:r>
      <w:r w:rsidRPr="00535506">
        <w:rPr>
          <w:color w:val="auto"/>
          <w:sz w:val="28"/>
          <w:szCs w:val="28"/>
        </w:rPr>
        <w:t>+7 (727) 345 10 12</w:t>
      </w:r>
    </w:p>
    <w:p w14:paraId="3DA6777B" w14:textId="77777777" w:rsidR="008A38F8" w:rsidRPr="00535506" w:rsidRDefault="008A38F8" w:rsidP="008A38F8">
      <w:pPr>
        <w:pStyle w:val="Default"/>
        <w:jc w:val="both"/>
        <w:rPr>
          <w:rFonts w:eastAsia="TimesNewRomanPSMT"/>
          <w:sz w:val="28"/>
          <w:szCs w:val="28"/>
          <w:lang w:eastAsia="ru-RU"/>
        </w:rPr>
      </w:pPr>
      <w:r w:rsidRPr="00535506">
        <w:rPr>
          <w:sz w:val="28"/>
          <w:szCs w:val="28"/>
          <w:lang w:val="kk-KZ"/>
        </w:rPr>
        <w:t xml:space="preserve">Электронная почта: </w:t>
      </w:r>
      <w:r w:rsidR="00AB3DAE" w:rsidRPr="00535506">
        <w:fldChar w:fldCharType="begin"/>
      </w:r>
      <w:r w:rsidR="00AB3DAE" w:rsidRPr="00535506">
        <w:instrText xml:space="preserve"> HYPERLINK "mailto:info@saapharma.kz" </w:instrText>
      </w:r>
      <w:r w:rsidR="00AB3DAE" w:rsidRPr="00535506">
        <w:fldChar w:fldCharType="separate"/>
      </w:r>
      <w:r w:rsidRPr="00535506">
        <w:rPr>
          <w:rStyle w:val="ae"/>
          <w:sz w:val="28"/>
          <w:szCs w:val="28"/>
        </w:rPr>
        <w:t>info@saapharma.kz</w:t>
      </w:r>
      <w:r w:rsidR="00AB3DAE" w:rsidRPr="00535506">
        <w:rPr>
          <w:rStyle w:val="ae"/>
          <w:sz w:val="28"/>
          <w:szCs w:val="28"/>
        </w:rPr>
        <w:fldChar w:fldCharType="end"/>
      </w:r>
      <w:r w:rsidRPr="00535506">
        <w:rPr>
          <w:color w:val="auto"/>
          <w:sz w:val="28"/>
          <w:szCs w:val="28"/>
        </w:rPr>
        <w:t xml:space="preserve"> </w:t>
      </w:r>
    </w:p>
    <w:bookmarkEnd w:id="17"/>
    <w:p w14:paraId="36427EBA" w14:textId="46DB2C96" w:rsidR="008A38F8" w:rsidRPr="00535506" w:rsidRDefault="008A38F8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4A55A6" w14:textId="7BC4B55E" w:rsidR="002F0FB2" w:rsidRPr="00535506" w:rsidRDefault="002F0FB2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6EBED9" w14:textId="0CDD7BDB" w:rsidR="002F0FB2" w:rsidRPr="00535506" w:rsidRDefault="002F0FB2" w:rsidP="008A38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2F0FB2" w:rsidRPr="00535506" w14:paraId="7A852085" w14:textId="77777777" w:rsidTr="0094153E">
        <w:tc>
          <w:tcPr>
            <w:tcW w:w="10065" w:type="dxa"/>
            <w:shd w:val="clear" w:color="auto" w:fill="auto"/>
          </w:tcPr>
          <w:p w14:paraId="569332B9" w14:textId="77777777" w:rsidR="002F0FB2" w:rsidRPr="00535506" w:rsidRDefault="002F0FB2" w:rsidP="002F0FB2">
            <w:pPr>
              <w:spacing w:after="0"/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Инструкция по применению ручки </w:t>
            </w:r>
            <w:proofErr w:type="spellStart"/>
            <w:r w:rsidR="00F5383E" w:rsidRPr="00535506"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b/>
                <w:i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14:paraId="7737B83B" w14:textId="155CDFF8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 представляет собой раствор 250 мкг/мл в ручке, предназначенной для индивидуального использования. Перед началом использования ручки </w:t>
            </w: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 внимательно ознакомьтесь с данным разделом.</w:t>
            </w:r>
          </w:p>
          <w:p w14:paraId="2FA3A2E6" w14:textId="77777777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 xml:space="preserve">Пациенты, получающие </w:t>
            </w:r>
            <w:proofErr w:type="spellStart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, не должны передавать иглы или шприцы другим лицам, так как это может привести к передаче инфекции.</w:t>
            </w:r>
          </w:p>
          <w:p w14:paraId="33AD27F3" w14:textId="77777777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Ручка предназначена для введения препарата в течение 28 дней.</w:t>
            </w:r>
          </w:p>
          <w:p w14:paraId="735C388B" w14:textId="1516F214" w:rsidR="00AD2CD6" w:rsidRPr="00535506" w:rsidRDefault="00AD2CD6" w:rsidP="00AD2CD6">
            <w:pPr>
              <w:spacing w:after="0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bCs/>
                <w:snapToGrid w:val="0"/>
                <w:color w:val="000000"/>
                <w:sz w:val="28"/>
                <w:szCs w:val="28"/>
              </w:rPr>
              <w:t>*Примечание: иглы в комплект не входят. Ручка может использоваться с иглами для инсулиновых шприц-ручек. Проконсультируйтесь с Вашим лечащим врачом о размере и длине иглы, подходящими для Вас.</w:t>
            </w:r>
          </w:p>
          <w:p w14:paraId="1DF27BD3" w14:textId="12E2C8E6" w:rsidR="00AD2CD6" w:rsidRPr="00535506" w:rsidRDefault="00AD2CD6" w:rsidP="002F0FB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</w:tbl>
    <w:p w14:paraId="27E527E6" w14:textId="499F63BC" w:rsidR="002F0FB2" w:rsidRPr="00535506" w:rsidRDefault="002F0FB2" w:rsidP="002F0F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506">
        <w:rPr>
          <w:noProof/>
          <w:lang w:eastAsia="ru-RU"/>
        </w:rPr>
        <w:drawing>
          <wp:inline distT="0" distB="0" distL="0" distR="0" wp14:anchorId="31B9323F" wp14:editId="0DCB2492">
            <wp:extent cx="6338092" cy="1653871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7212" cy="166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1F413" w14:textId="4CD9B9EC" w:rsidR="002F0FB2" w:rsidRPr="00535506" w:rsidRDefault="002F0FB2" w:rsidP="002F0F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8BF63" w14:textId="704A86C5" w:rsidR="002F0FB2" w:rsidRPr="00535506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Достаньте ручку из холодильника и подождите, пока она не достигнет комнатной температуры</w:t>
      </w:r>
    </w:p>
    <w:p w14:paraId="57BE5F29" w14:textId="76212B13" w:rsidR="002F0FB2" w:rsidRPr="00535506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5506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Подготовьте место инъекции в соответствии с указаниями Вашего лечащего врача или фармацевта.</w:t>
      </w: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3726"/>
        <w:gridCol w:w="5908"/>
      </w:tblGrid>
      <w:tr w:rsidR="002F0FB2" w:rsidRPr="00535506" w14:paraId="7BD67CE7" w14:textId="77777777" w:rsidTr="00D90FCC">
        <w:tc>
          <w:tcPr>
            <w:tcW w:w="3726" w:type="dxa"/>
          </w:tcPr>
          <w:p w14:paraId="610F50DC" w14:textId="731A3553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18" w:name="_Hlk58789649"/>
            <w:r w:rsidRPr="00535506">
              <w:rPr>
                <w:noProof/>
                <w:lang w:eastAsia="ru-RU"/>
              </w:rPr>
              <w:drawing>
                <wp:inline distT="0" distB="0" distL="0" distR="0" wp14:anchorId="4F7CA957" wp14:editId="7C7946A5">
                  <wp:extent cx="2209800" cy="1809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39DE7E8" w14:textId="13BDAF8D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 Тщательно вымойте руки с мылом и высушите их.</w:t>
            </w:r>
          </w:p>
        </w:tc>
      </w:tr>
      <w:tr w:rsidR="002F0FB2" w:rsidRPr="00535506" w14:paraId="3B76F01A" w14:textId="77777777" w:rsidTr="00D90FCC">
        <w:trPr>
          <w:trHeight w:val="2824"/>
        </w:trPr>
        <w:tc>
          <w:tcPr>
            <w:tcW w:w="3726" w:type="dxa"/>
          </w:tcPr>
          <w:p w14:paraId="6E82B103" w14:textId="2526CB25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5C4C07BB" wp14:editId="6BD18119">
                  <wp:extent cx="2209800" cy="1809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1121164F" w14:textId="10024C77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Держите ручку одной рукой. Другой рукой снимите колпачок ручки.</w:t>
            </w:r>
          </w:p>
          <w:p w14:paraId="3D618242" w14:textId="408CD798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Проверьте этикетку устройства доставки </w:t>
            </w:r>
            <w:r w:rsidR="00F5383E"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СинноПар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чтобы убедиться, что у вас есть правильное лекарство и что срок его действия не истек.</w:t>
            </w:r>
          </w:p>
          <w:p w14:paraId="26CDAD1D" w14:textId="2708E6B7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используйте, если устройство выглядит поврежденным, если лекарство в картридже не является прозрачным и бесцветным или если в нем есть частицы.</w:t>
            </w:r>
          </w:p>
        </w:tc>
      </w:tr>
      <w:tr w:rsidR="002F0FB2" w:rsidRPr="00535506" w14:paraId="30016AAB" w14:textId="77777777" w:rsidTr="00D90FCC">
        <w:tc>
          <w:tcPr>
            <w:tcW w:w="3726" w:type="dxa"/>
          </w:tcPr>
          <w:p w14:paraId="5CE5E29F" w14:textId="0480871C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51CBEF00" wp14:editId="179CA4D3">
                  <wp:extent cx="2209800" cy="1809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7A33CB0B" w14:textId="773E0253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 Протрите перегородки ручки с тампоном, смоченным спиртом.</w:t>
            </w:r>
          </w:p>
        </w:tc>
      </w:tr>
      <w:tr w:rsidR="002F0FB2" w:rsidRPr="00535506" w14:paraId="1B0FEC67" w14:textId="77777777" w:rsidTr="00D90FCC">
        <w:tc>
          <w:tcPr>
            <w:tcW w:w="3726" w:type="dxa"/>
          </w:tcPr>
          <w:p w14:paraId="4165FDC2" w14:textId="7B709672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29488AED" wp14:editId="5F067525">
                  <wp:extent cx="2209800" cy="1809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0C4DAF0" w14:textId="3E9371AB" w:rsidR="002F0FB2" w:rsidRPr="00535506" w:rsidRDefault="002F0FB2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 Снимите бумажный язычок с задней стороны иглы. Пока наружный экран иглы все еще прикреплен, поместите иглу прямо на медицинский картридж. </w:t>
            </w:r>
            <w:r w:rsidR="00C834A2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Закрутите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иглу по часовой стрелке, чтобы </w:t>
            </w:r>
            <w:r w:rsidR="002B5E03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она прочно держалась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2F0FB2" w:rsidRPr="00535506" w14:paraId="505261B0" w14:textId="77777777" w:rsidTr="00D90FCC">
        <w:tc>
          <w:tcPr>
            <w:tcW w:w="3726" w:type="dxa"/>
          </w:tcPr>
          <w:p w14:paraId="4CECDC46" w14:textId="1ABD8B8F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49FBBEC" wp14:editId="2EF937CF">
                  <wp:extent cx="2209800" cy="1809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35CB38E4" w14:textId="360082C6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5. Снимите большую крышку иглы и сохраните ее.</w:t>
            </w:r>
          </w:p>
        </w:tc>
      </w:tr>
      <w:tr w:rsidR="002F0FB2" w:rsidRPr="00535506" w14:paraId="0218A088" w14:textId="77777777" w:rsidTr="00D90FCC">
        <w:tc>
          <w:tcPr>
            <w:tcW w:w="3726" w:type="dxa"/>
          </w:tcPr>
          <w:p w14:paraId="037A7522" w14:textId="06A58193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1668A033" wp14:editId="46D6760E">
                  <wp:extent cx="2209800" cy="1819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BEC44D0" w14:textId="55999310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6. Снимите маленький игольчатый протектор и выбросьте его.</w:t>
            </w:r>
          </w:p>
        </w:tc>
      </w:tr>
      <w:tr w:rsidR="002F0FB2" w:rsidRPr="00535506" w14:paraId="0E6E664A" w14:textId="77777777" w:rsidTr="00D90FCC">
        <w:tc>
          <w:tcPr>
            <w:tcW w:w="3726" w:type="dxa"/>
          </w:tcPr>
          <w:p w14:paraId="05D32108" w14:textId="22249942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1182ABA" wp14:editId="472C12C9">
                  <wp:extent cx="2209800" cy="1809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FA6D60D" w14:textId="46BAC2B6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 первом использовании вращайте номеронабиратель до тех пор, пока “2” не выровняется с указателем в окне отображения дозы.</w:t>
            </w:r>
          </w:p>
        </w:tc>
      </w:tr>
      <w:tr w:rsidR="002F0FB2" w:rsidRPr="00535506" w14:paraId="705E1172" w14:textId="77777777" w:rsidTr="00D90FCC">
        <w:tc>
          <w:tcPr>
            <w:tcW w:w="3726" w:type="dxa"/>
          </w:tcPr>
          <w:p w14:paraId="3C56EA9B" w14:textId="60A314BD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B5F7B36" wp14:editId="5BB49173">
                  <wp:extent cx="2209800" cy="1809750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6D73039A" w14:textId="536B4F4A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 Нажмите на картридж аккуратно пальцем, чтобы помочь пузырькам воздуха подняться на вершину. В картридже могут остаться небольшие пузырьки.</w:t>
            </w:r>
          </w:p>
        </w:tc>
      </w:tr>
      <w:tr w:rsidR="002F0FB2" w:rsidRPr="00535506" w14:paraId="6A2749EC" w14:textId="77777777" w:rsidTr="00D90FCC">
        <w:tc>
          <w:tcPr>
            <w:tcW w:w="3726" w:type="dxa"/>
          </w:tcPr>
          <w:p w14:paraId="65E043F6" w14:textId="35F79326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75D4E0A8" wp14:editId="02BB94A8">
                  <wp:extent cx="2209800" cy="1809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679C16E5" w14:textId="76F5D3F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 первом использовании вращайте номеронабиратель до тех пор, пока “2” не выровняется с указателем в окне отображения дозы. Осторожно постучите пальцем по картриджу, чтобы пузырьки воздуха поднялись наверх. В картридже могут остаться небольшие пузырьки. Нажимайте кнопку большого пальца до тех пор, пока “0” не выровняется с указателем в окне отображения дозы. Повторите шаги с 9 по 11 в общей сложности четыре раза.</w:t>
            </w:r>
          </w:p>
        </w:tc>
      </w:tr>
      <w:tr w:rsidR="002F0FB2" w:rsidRPr="00535506" w14:paraId="234EA5BC" w14:textId="77777777" w:rsidTr="00D90FCC">
        <w:tc>
          <w:tcPr>
            <w:tcW w:w="3726" w:type="dxa"/>
          </w:tcPr>
          <w:p w14:paraId="1F950286" w14:textId="654C26DF" w:rsidR="002F0FB2" w:rsidRPr="00535506" w:rsidRDefault="00A649CB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357C2463" wp14:editId="768CA89A">
                  <wp:extent cx="1790950" cy="142894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950" cy="1428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C315FD9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Выбор места инъекции </w:t>
            </w:r>
          </w:p>
          <w:p w14:paraId="328E9749" w14:textId="67406361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10. Области, которые показаны розовым цветом (живот, бедро), являются лучшими местами для инъекции лекарства. Рекомендуется регулярно вращать место инъекции.</w:t>
            </w:r>
          </w:p>
        </w:tc>
      </w:tr>
      <w:tr w:rsidR="002F0FB2" w:rsidRPr="00535506" w14:paraId="654195D6" w14:textId="77777777" w:rsidTr="00D90FCC">
        <w:tc>
          <w:tcPr>
            <w:tcW w:w="3726" w:type="dxa"/>
          </w:tcPr>
          <w:p w14:paraId="0F544D69" w14:textId="32C70147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1788CB46" wp14:editId="75EB0508">
                  <wp:extent cx="2209800" cy="18097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153E3E52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Настройка номеронабирателя доз </w:t>
            </w:r>
          </w:p>
          <w:p w14:paraId="4F824E3E" w14:textId="5836A34D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11. Вращайте номеронабиратель до тех пор, пока в окне отображения дозы не появится рекомендованный врачом номер. Обычная суточная доза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СинноПар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составляет 20 мкг, вводимых один раз в день, что равно числу</w:t>
            </w:r>
            <w:r w:rsidR="00855B65"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855B65"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номеронабирателе, как показано на рис.11.</w:t>
            </w:r>
          </w:p>
          <w:p w14:paraId="29F7F793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Избегайте ненужного скручивания номеронабирателя доз, это может ухудшить функцию пера.</w:t>
            </w:r>
          </w:p>
          <w:p w14:paraId="081DF43D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вы поворачиваете номеронабиратель дозы больше, чем необходимо (неправильно набранная доза), просто поверните номеронабиратель дозы назад, чтобы установить нужный номер.</w:t>
            </w:r>
          </w:p>
          <w:p w14:paraId="2A94B279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нажимайте оранжевую кнопку при установке дозы, так как это приводит к отмене лекарства.</w:t>
            </w:r>
          </w:p>
          <w:p w14:paraId="3FFECD15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 не можете повернуть номеронабиратель дозы на значение больше, чем то, что находится в картридже пера.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Избегайте принудительного поворота номеронабирателя доз. Выбросьте ручку или используйте оставшиеся единицы в ручке и завершите свою дозу новой ручкой.</w:t>
            </w:r>
          </w:p>
          <w:p w14:paraId="1C986324" w14:textId="77777777" w:rsidR="00D90FCC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Не используйте цифры, написанные на картридже, чтобы судить о дозе. </w:t>
            </w:r>
          </w:p>
          <w:p w14:paraId="302A63C0" w14:textId="769EF71A" w:rsidR="002F0FB2" w:rsidRPr="00535506" w:rsidRDefault="00D90FCC" w:rsidP="00D90FCC">
            <w:pPr>
              <w:pStyle w:val="a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Никогда не вводите все содержимое ручки сразу, если это не указано вашим врачом.</w:t>
            </w:r>
          </w:p>
        </w:tc>
      </w:tr>
      <w:tr w:rsidR="002F0FB2" w:rsidRPr="00535506" w14:paraId="6FCA7E61" w14:textId="77777777" w:rsidTr="00D90FCC">
        <w:tc>
          <w:tcPr>
            <w:tcW w:w="3726" w:type="dxa"/>
          </w:tcPr>
          <w:p w14:paraId="70ED6D50" w14:textId="7923CC26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D5BB9B4" wp14:editId="72F00E85">
                  <wp:extent cx="2209800" cy="18097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F879776" w14:textId="67AE6CA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П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родезинфицируйте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место инъекции на коже спиртовым тампоном.</w:t>
            </w:r>
          </w:p>
        </w:tc>
      </w:tr>
      <w:tr w:rsidR="002F0FB2" w:rsidRPr="00535506" w14:paraId="4F311FF4" w14:textId="77777777" w:rsidTr="00D90FCC">
        <w:tc>
          <w:tcPr>
            <w:tcW w:w="3726" w:type="dxa"/>
          </w:tcPr>
          <w:p w14:paraId="7343CA8E" w14:textId="681ECB2C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0065407D" wp14:editId="4767A54C">
                  <wp:extent cx="2209800" cy="18097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0ABEA79E" w14:textId="5A2C0CFE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13.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О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сторожно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держите складку кожи на бедре или животе и вводите иглу прямо в кожу.</w:t>
            </w:r>
          </w:p>
        </w:tc>
      </w:tr>
      <w:tr w:rsidR="002F0FB2" w:rsidRPr="00535506" w14:paraId="257824EC" w14:textId="77777777" w:rsidTr="00D90FCC">
        <w:tc>
          <w:tcPr>
            <w:tcW w:w="3726" w:type="dxa"/>
          </w:tcPr>
          <w:p w14:paraId="1FFD8A9E" w14:textId="2E964DD4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5734813A" wp14:editId="144E654A">
                  <wp:extent cx="2209800" cy="18097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CBBA364" w14:textId="77A595D5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14.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В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ставьте иглу прямо в кожу под углом 90 градусов.</w:t>
            </w:r>
          </w:p>
        </w:tc>
      </w:tr>
      <w:tr w:rsidR="002F0FB2" w:rsidRPr="00535506" w14:paraId="6E50959D" w14:textId="77777777" w:rsidTr="00D90FCC">
        <w:tc>
          <w:tcPr>
            <w:tcW w:w="3726" w:type="dxa"/>
          </w:tcPr>
          <w:p w14:paraId="12FB0560" w14:textId="731109DA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6FB3EEF9" wp14:editId="64E3AD2F">
                  <wp:extent cx="2209800" cy="1809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1C1F4B0" w14:textId="2F5D31DC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15.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ажимайте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оранжевую кнопку до тех пор, пока в окне отображения дозы не появится цифра “0”.</w:t>
            </w:r>
          </w:p>
          <w:p w14:paraId="4309E986" w14:textId="18D4EE73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 прикасайтесь пальцами к номеронабирателю дозы при нажатии оранжевой кнопки. Это может предотвратить инъекцию</w:t>
            </w:r>
          </w:p>
        </w:tc>
      </w:tr>
      <w:tr w:rsidR="002F0FB2" w:rsidRPr="00535506" w14:paraId="052446AB" w14:textId="77777777" w:rsidTr="00D90FCC">
        <w:tc>
          <w:tcPr>
            <w:tcW w:w="3726" w:type="dxa"/>
          </w:tcPr>
          <w:p w14:paraId="52A3BE8C" w14:textId="7BE91D38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3912FAA9" wp14:editId="2826EF0D">
                  <wp:extent cx="2219325" cy="18192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26978966" w14:textId="77777777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16.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У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держивайте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оранжевую кнопку нажатой и медленно сосчитайте до 10, чтобы убедиться, что лекарство полностью введено в кожу.</w:t>
            </w:r>
          </w:p>
          <w:p w14:paraId="404430B2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Выньте иглу из кожи, когда закончите считать.</w:t>
            </w:r>
          </w:p>
          <w:p w14:paraId="6ED1E3FD" w14:textId="130D068A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Если вы увидели лекарственные жидкости на ручке после того, как вы вытащили ручку, при следующей инъекции держите иглу в коже дольше.</w:t>
            </w:r>
          </w:p>
        </w:tc>
      </w:tr>
      <w:tr w:rsidR="002F0FB2" w:rsidRPr="00535506" w14:paraId="18D237B7" w14:textId="77777777" w:rsidTr="00D90FCC">
        <w:tc>
          <w:tcPr>
            <w:tcW w:w="3726" w:type="dxa"/>
          </w:tcPr>
          <w:p w14:paraId="6D655375" w14:textId="33A4655A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drawing>
                <wp:inline distT="0" distB="0" distL="0" distR="0" wp14:anchorId="44D0F8DA" wp14:editId="1FE78C2E">
                  <wp:extent cx="2209800" cy="1809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45D61E2C" w14:textId="3794039D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17.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ккуратно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установите наружный игольчатый экран на иглу. Поверните иглу с колпачком против часовой стрелки. Правильно выбросьте как иглу, так и наружный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гольный</w:t>
            </w:r>
            <w:proofErr w:type="spellEnd"/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щит в соответствии с указаниями вашего медицинского работника.</w:t>
            </w:r>
          </w:p>
          <w:p w14:paraId="425045FE" w14:textId="77777777" w:rsidR="00D90FCC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После инъекции накройте место инъекции сухой ватой.</w:t>
            </w:r>
          </w:p>
          <w:p w14:paraId="633F9208" w14:textId="1C99EA1B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Подкожная инъекция может вызвать </w:t>
            </w: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кратковременную боль или незначительные кровоподтеки в области инъекции.</w:t>
            </w:r>
          </w:p>
        </w:tc>
      </w:tr>
      <w:tr w:rsidR="002F0FB2" w:rsidRPr="00535506" w14:paraId="1383F75F" w14:textId="77777777" w:rsidTr="00D90FCC">
        <w:tc>
          <w:tcPr>
            <w:tcW w:w="3726" w:type="dxa"/>
          </w:tcPr>
          <w:p w14:paraId="04EEC3E4" w14:textId="6CAD4B08" w:rsidR="002F0FB2" w:rsidRPr="00535506" w:rsidRDefault="002F0FB2" w:rsidP="002F0FB2">
            <w:pPr>
              <w:autoSpaceDE w:val="0"/>
              <w:autoSpaceDN w:val="0"/>
              <w:spacing w:after="0" w:line="240" w:lineRule="auto"/>
              <w:jc w:val="both"/>
              <w:rPr>
                <w:noProof/>
              </w:rPr>
            </w:pPr>
            <w:r w:rsidRPr="00535506">
              <w:rPr>
                <w:noProof/>
                <w:lang w:eastAsia="ru-RU"/>
              </w:rPr>
              <w:lastRenderedPageBreak/>
              <w:drawing>
                <wp:inline distT="0" distB="0" distL="0" distR="0" wp14:anchorId="4F247089" wp14:editId="43FE10B6">
                  <wp:extent cx="2209800" cy="1809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  <w:vAlign w:val="center"/>
          </w:tcPr>
          <w:p w14:paraId="56DDBC0C" w14:textId="315FEF3F" w:rsidR="002F0FB2" w:rsidRPr="00535506" w:rsidRDefault="00D90FCC" w:rsidP="00D90F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3550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18. Замените колпачок на ручке и храните ее до 4 недель в холодильнике (2 – 8 °C).</w:t>
            </w:r>
          </w:p>
        </w:tc>
      </w:tr>
    </w:tbl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0065"/>
      </w:tblGrid>
      <w:tr w:rsidR="00D90FCC" w:rsidRPr="00535506" w14:paraId="467C5679" w14:textId="77777777" w:rsidTr="00855B65">
        <w:tc>
          <w:tcPr>
            <w:tcW w:w="10065" w:type="dxa"/>
            <w:shd w:val="clear" w:color="auto" w:fill="auto"/>
          </w:tcPr>
          <w:bookmarkEnd w:id="18"/>
          <w:p w14:paraId="2E23ACDC" w14:textId="4F3D60EB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Хранение ручки</w:t>
            </w:r>
          </w:p>
          <w:p w14:paraId="29AB3F14" w14:textId="2EF7D2CD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Наружную поверхность ручки протирайте влажной тканью.</w:t>
            </w:r>
          </w:p>
          <w:p w14:paraId="299F9CDC" w14:textId="537028A6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 помещайте ручку в воду, не мойте и не чистите ее какой-либо жидкостью.</w:t>
            </w:r>
          </w:p>
          <w:p w14:paraId="6B517F68" w14:textId="4812FCB4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Поместите ручку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холодильник сразу после проведения инъекции.</w:t>
            </w:r>
          </w:p>
          <w:p w14:paraId="3091B0AB" w14:textId="5579411F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Не храните ручку с присоединенной к ней иглой. Это может привести к образованию воздушных пузырьков в картридже. Не храните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 морозильнике. Не используйте ручку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, если она была заморожена, выбросьте замороженную ручку и продолжите лечение новой ручкой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</w:t>
            </w:r>
          </w:p>
          <w:p w14:paraId="60335B92" w14:textId="6C30984F" w:rsidR="00D90FCC" w:rsidRPr="00535506" w:rsidRDefault="00F5383E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proofErr w:type="spellStart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="00D90FCC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</w:t>
            </w:r>
            <w:r w:rsidR="00D90FCC"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ледует хранить с надетым белым колпачком.</w:t>
            </w:r>
          </w:p>
          <w:p w14:paraId="2D4CECDF" w14:textId="57CC90F5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Если Вы забыли поместить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в холодильник, не выбрасывайте препарат. Уберите ручку в холодильник и свяжитесь с Вашим лечащим врачом или фармацевтом.</w:t>
            </w:r>
          </w:p>
          <w:p w14:paraId="7B27F203" w14:textId="77777777" w:rsidR="00D90FCC" w:rsidRPr="00535506" w:rsidRDefault="00D90FCC" w:rsidP="00F5383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90FCC" w:rsidRPr="00535506" w14:paraId="7CDB818D" w14:textId="77777777" w:rsidTr="00855B65">
        <w:tc>
          <w:tcPr>
            <w:tcW w:w="10065" w:type="dxa"/>
            <w:shd w:val="clear" w:color="auto" w:fill="auto"/>
          </w:tcPr>
          <w:p w14:paraId="2B0E43B0" w14:textId="0A26CE18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Утилизация ручки</w:t>
            </w:r>
          </w:p>
          <w:p w14:paraId="5D4787B5" w14:textId="09F505C5" w:rsidR="00D90FCC" w:rsidRPr="00535506" w:rsidRDefault="00AD2CD6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Ручка</w:t>
            </w:r>
            <w:r w:rsidR="00D90FCC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подлежит утилизации через 28 дней после первого использования.</w:t>
            </w:r>
          </w:p>
          <w:p w14:paraId="1C2E239E" w14:textId="67504212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Перед утилизацией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убедитесь, что игла из ручки удалена.</w:t>
            </w:r>
          </w:p>
          <w:p w14:paraId="3119175A" w14:textId="77E5AB71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Поместите использованные иглы в контейнер для острых предметов или в контейнер из твердого </w:t>
            </w:r>
            <w:r w:rsidR="00C448A5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материала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с защитной крышкой. Не выбрасывайте иглы непосредственно с бытовыми отходами.</w:t>
            </w:r>
          </w:p>
          <w:p w14:paraId="2AA19EF4" w14:textId="61F7C9EC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Производите утилизацию ручки и использованных игл в соответствии с указаниями Вашего лечащего врача или фармацевта.</w:t>
            </w:r>
          </w:p>
          <w:p w14:paraId="4B10396A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Данные указания касательно обращения с иглами не заменяют </w:t>
            </w:r>
            <w:r w:rsidRPr="00535506">
              <w:rPr>
                <w:rFonts w:ascii="Times New Roman" w:hAnsi="Times New Roman"/>
                <w:noProof/>
                <w:sz w:val="28"/>
              </w:rPr>
              <w:t>местные нормы, указания специалистов сферы здравоохранения или правила конкретных лечебных учреждений.</w:t>
            </w:r>
          </w:p>
          <w:p w14:paraId="155BC684" w14:textId="261D3F40" w:rsidR="006236DE" w:rsidRPr="00535506" w:rsidRDefault="006236DE" w:rsidP="006236DE">
            <w:pPr>
              <w:spacing w:after="0" w:line="240" w:lineRule="auto"/>
              <w:ind w:left="720"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D90FCC" w:rsidRPr="00F5383E" w14:paraId="51E5B2D3" w14:textId="77777777" w:rsidTr="00855B65">
        <w:tc>
          <w:tcPr>
            <w:tcW w:w="10065" w:type="dxa"/>
            <w:shd w:val="clear" w:color="auto" w:fill="auto"/>
          </w:tcPr>
          <w:p w14:paraId="0C0608FE" w14:textId="7A0A4B55" w:rsidR="00D90FCC" w:rsidRPr="00535506" w:rsidRDefault="00D90FCC" w:rsidP="00F5383E">
            <w:pPr>
              <w:spacing w:after="0"/>
              <w:ind w:right="-19"/>
              <w:jc w:val="both"/>
              <w:rPr>
                <w:rFonts w:ascii="Times New Roman" w:hAnsi="Times New Roman"/>
                <w:b/>
                <w:kern w:val="2"/>
                <w:sz w:val="28"/>
              </w:rPr>
            </w:pPr>
            <w:r w:rsidRPr="00535506">
              <w:rPr>
                <w:rFonts w:ascii="Times New Roman" w:hAnsi="Times New Roman"/>
                <w:b/>
                <w:kern w:val="2"/>
                <w:sz w:val="28"/>
              </w:rPr>
              <w:t>Общая информация по безопасному и эффективному использованию ручки</w:t>
            </w:r>
          </w:p>
          <w:p w14:paraId="5E93BB08" w14:textId="307CA7B1" w:rsidR="00D90FCC" w:rsidRPr="00535506" w:rsidRDefault="00AD2CD6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Ручка</w:t>
            </w:r>
            <w:r w:rsidR="00D90FCC"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предназначена для введения препарата в течение 28 дней.</w:t>
            </w:r>
          </w:p>
          <w:p w14:paraId="647B1C0A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Не переливайте раствор в шприц.</w:t>
            </w:r>
          </w:p>
          <w:p w14:paraId="61EF8851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sz w:val="28"/>
                <w:szCs w:val="28"/>
              </w:rPr>
              <w:t>Запишите дату первой инъекции препарата.</w:t>
            </w:r>
          </w:p>
          <w:p w14:paraId="3D4D7FB7" w14:textId="4D66BB66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Пациенты, получающие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 не должны передавать иглы или шприцы другим лицам, так как это может привести к передаче инфекции.</w:t>
            </w:r>
          </w:p>
          <w:p w14:paraId="612965B9" w14:textId="6C0FAE9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В </w:t>
            </w:r>
            <w:r w:rsidR="00AD2CD6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ручка</w:t>
            </w: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х могут поставляться различные лекарственные средства. Поэтому, перед каждым использованием убедитесь, что Вы используете ручку с препаратом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(указано на этикетке ручки).</w:t>
            </w:r>
          </w:p>
          <w:p w14:paraId="0C3046AC" w14:textId="5C828C91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Не используйте ручку после истечения срока годности, указанного на этикетке.</w:t>
            </w:r>
          </w:p>
          <w:p w14:paraId="3313ED82" w14:textId="0002892A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Свяжитесь с Вашим лечащим врачом или фармацевтом, если препарат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поврежден или раствор в ручке мутный, окрашен или содержит инородные частицы.</w:t>
            </w:r>
          </w:p>
          <w:p w14:paraId="1E8B5079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Для каждой инъекции требуется новая стерильная игла.</w:t>
            </w:r>
          </w:p>
          <w:p w14:paraId="619AE6EE" w14:textId="7777777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Во время инъекции, Вы можете услышать один или несколько щелчков — это нормальная работа устройства.</w:t>
            </w:r>
          </w:p>
          <w:p w14:paraId="0E9A226A" w14:textId="1E142423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Не рекомендуется использовать ручку лицам с ослабленным зрением или с полной потерей зрения без посторонней помощи обученных надлежащему использованию ручки </w:t>
            </w:r>
            <w:proofErr w:type="spellStart"/>
            <w:r w:rsidR="00F5383E"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СинноПар</w:t>
            </w:r>
            <w:proofErr w:type="spellEnd"/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</w:t>
            </w:r>
          </w:p>
          <w:p w14:paraId="4A26E9D7" w14:textId="0C949BD7" w:rsidR="00D90FCC" w:rsidRPr="00535506" w:rsidRDefault="00D90FCC" w:rsidP="00F5383E">
            <w:pPr>
              <w:numPr>
                <w:ilvl w:val="0"/>
                <w:numId w:val="33"/>
              </w:numPr>
              <w:spacing w:after="0" w:line="240" w:lineRule="auto"/>
              <w:ind w:right="-19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535506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Храните ручку в недоступном для детей месте.</w:t>
            </w:r>
          </w:p>
        </w:tc>
      </w:tr>
    </w:tbl>
    <w:p w14:paraId="717E6D50" w14:textId="77777777" w:rsidR="002F0FB2" w:rsidRPr="002F0FB2" w:rsidRDefault="002F0FB2" w:rsidP="002F0F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2F0FB2" w:rsidRPr="002F0FB2" w:rsidSect="00F97B57">
      <w:headerReference w:type="default" r:id="rId3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F190" w14:textId="77777777" w:rsidR="00AA2013" w:rsidRDefault="00AA2013" w:rsidP="00D275FC">
      <w:pPr>
        <w:spacing w:after="0" w:line="240" w:lineRule="auto"/>
      </w:pPr>
      <w:r>
        <w:separator/>
      </w:r>
    </w:p>
  </w:endnote>
  <w:endnote w:type="continuationSeparator" w:id="0">
    <w:p w14:paraId="43066E38" w14:textId="77777777" w:rsidR="00AA2013" w:rsidRDefault="00AA2013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0923" w14:textId="77777777" w:rsidR="00AA2013" w:rsidRDefault="00AA2013" w:rsidP="00D275FC">
      <w:pPr>
        <w:spacing w:after="0" w:line="240" w:lineRule="auto"/>
      </w:pPr>
      <w:r>
        <w:separator/>
      </w:r>
    </w:p>
  </w:footnote>
  <w:footnote w:type="continuationSeparator" w:id="0">
    <w:p w14:paraId="11FF5546" w14:textId="77777777" w:rsidR="00AA2013" w:rsidRDefault="00AA2013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8DF" w14:textId="2D7C3A6B" w:rsidR="00D275FC" w:rsidRDefault="006C27BC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016156" wp14:editId="6DECB8D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00F83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16156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19000F83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F6C2E"/>
    <w:multiLevelType w:val="hybridMultilevel"/>
    <w:tmpl w:val="007284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B13"/>
    <w:multiLevelType w:val="hybridMultilevel"/>
    <w:tmpl w:val="2FF4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4274"/>
    <w:multiLevelType w:val="hybridMultilevel"/>
    <w:tmpl w:val="5BA086B4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196D"/>
    <w:multiLevelType w:val="hybridMultilevel"/>
    <w:tmpl w:val="24367A70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085B"/>
    <w:multiLevelType w:val="hybridMultilevel"/>
    <w:tmpl w:val="5776ACEA"/>
    <w:lvl w:ilvl="0" w:tplc="59FC7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1690"/>
    <w:multiLevelType w:val="hybridMultilevel"/>
    <w:tmpl w:val="91F87A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E4D73"/>
    <w:multiLevelType w:val="hybridMultilevel"/>
    <w:tmpl w:val="139825DC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218E"/>
    <w:multiLevelType w:val="hybridMultilevel"/>
    <w:tmpl w:val="009475AC"/>
    <w:lvl w:ilvl="0" w:tplc="59FC7D0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4"/>
  </w:num>
  <w:num w:numId="5">
    <w:abstractNumId w:val="32"/>
  </w:num>
  <w:num w:numId="6">
    <w:abstractNumId w:val="8"/>
  </w:num>
  <w:num w:numId="7">
    <w:abstractNumId w:val="30"/>
  </w:num>
  <w:num w:numId="8">
    <w:abstractNumId w:val="10"/>
  </w:num>
  <w:num w:numId="9">
    <w:abstractNumId w:val="21"/>
  </w:num>
  <w:num w:numId="10">
    <w:abstractNumId w:val="11"/>
  </w:num>
  <w:num w:numId="11">
    <w:abstractNumId w:val="20"/>
  </w:num>
  <w:num w:numId="12">
    <w:abstractNumId w:val="23"/>
  </w:num>
  <w:num w:numId="13">
    <w:abstractNumId w:val="27"/>
  </w:num>
  <w:num w:numId="14">
    <w:abstractNumId w:val="16"/>
  </w:num>
  <w:num w:numId="15">
    <w:abstractNumId w:val="0"/>
  </w:num>
  <w:num w:numId="16">
    <w:abstractNumId w:val="31"/>
  </w:num>
  <w:num w:numId="17">
    <w:abstractNumId w:val="19"/>
  </w:num>
  <w:num w:numId="18">
    <w:abstractNumId w:val="18"/>
  </w:num>
  <w:num w:numId="19">
    <w:abstractNumId w:val="9"/>
  </w:num>
  <w:num w:numId="20">
    <w:abstractNumId w:val="1"/>
  </w:num>
  <w:num w:numId="21">
    <w:abstractNumId w:val="14"/>
  </w:num>
  <w:num w:numId="22">
    <w:abstractNumId w:val="7"/>
  </w:num>
  <w:num w:numId="23">
    <w:abstractNumId w:val="29"/>
  </w:num>
  <w:num w:numId="24">
    <w:abstractNumId w:val="15"/>
  </w:num>
  <w:num w:numId="25">
    <w:abstractNumId w:val="12"/>
  </w:num>
  <w:num w:numId="26">
    <w:abstractNumId w:val="17"/>
  </w:num>
  <w:num w:numId="27">
    <w:abstractNumId w:val="26"/>
  </w:num>
  <w:num w:numId="28">
    <w:abstractNumId w:val="28"/>
  </w:num>
  <w:num w:numId="29">
    <w:abstractNumId w:val="13"/>
  </w:num>
  <w:num w:numId="30">
    <w:abstractNumId w:val="5"/>
  </w:num>
  <w:num w:numId="31">
    <w:abstractNumId w:val="25"/>
  </w:num>
  <w:num w:numId="32">
    <w:abstractNumId w:val="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11C8F"/>
    <w:rsid w:val="000264BB"/>
    <w:rsid w:val="00033FC1"/>
    <w:rsid w:val="00034159"/>
    <w:rsid w:val="00042999"/>
    <w:rsid w:val="000852A1"/>
    <w:rsid w:val="000972E6"/>
    <w:rsid w:val="000A0D71"/>
    <w:rsid w:val="000C2C4B"/>
    <w:rsid w:val="000C4C48"/>
    <w:rsid w:val="000E01AB"/>
    <w:rsid w:val="000E2683"/>
    <w:rsid w:val="000E49F0"/>
    <w:rsid w:val="000E6126"/>
    <w:rsid w:val="00100406"/>
    <w:rsid w:val="00107A8A"/>
    <w:rsid w:val="00111788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5CCF"/>
    <w:rsid w:val="001B6AEC"/>
    <w:rsid w:val="001E6F4C"/>
    <w:rsid w:val="001F16AA"/>
    <w:rsid w:val="00203355"/>
    <w:rsid w:val="00211005"/>
    <w:rsid w:val="00217D41"/>
    <w:rsid w:val="00222CA6"/>
    <w:rsid w:val="00232642"/>
    <w:rsid w:val="00237697"/>
    <w:rsid w:val="00245317"/>
    <w:rsid w:val="00250EDB"/>
    <w:rsid w:val="00251360"/>
    <w:rsid w:val="00256E10"/>
    <w:rsid w:val="00260413"/>
    <w:rsid w:val="00260EBC"/>
    <w:rsid w:val="00264710"/>
    <w:rsid w:val="00267567"/>
    <w:rsid w:val="00270B0A"/>
    <w:rsid w:val="00281FBE"/>
    <w:rsid w:val="00283AED"/>
    <w:rsid w:val="00290D2E"/>
    <w:rsid w:val="00292715"/>
    <w:rsid w:val="002A591C"/>
    <w:rsid w:val="002B3270"/>
    <w:rsid w:val="002B5E03"/>
    <w:rsid w:val="002C10E1"/>
    <w:rsid w:val="002C15EB"/>
    <w:rsid w:val="002C1660"/>
    <w:rsid w:val="002C35A2"/>
    <w:rsid w:val="002C5345"/>
    <w:rsid w:val="002C76D7"/>
    <w:rsid w:val="002D56B7"/>
    <w:rsid w:val="002E0BAD"/>
    <w:rsid w:val="002F0FB2"/>
    <w:rsid w:val="002F4A14"/>
    <w:rsid w:val="00302607"/>
    <w:rsid w:val="003043BF"/>
    <w:rsid w:val="0030540E"/>
    <w:rsid w:val="00320073"/>
    <w:rsid w:val="003262DF"/>
    <w:rsid w:val="003356B2"/>
    <w:rsid w:val="00335C1C"/>
    <w:rsid w:val="0036288F"/>
    <w:rsid w:val="00365B10"/>
    <w:rsid w:val="003662F1"/>
    <w:rsid w:val="00367BA7"/>
    <w:rsid w:val="00375ECA"/>
    <w:rsid w:val="003761C0"/>
    <w:rsid w:val="003812B2"/>
    <w:rsid w:val="00383CDB"/>
    <w:rsid w:val="00384F08"/>
    <w:rsid w:val="003879F9"/>
    <w:rsid w:val="003A035E"/>
    <w:rsid w:val="003A0A88"/>
    <w:rsid w:val="003B0285"/>
    <w:rsid w:val="003D00CB"/>
    <w:rsid w:val="003E13CF"/>
    <w:rsid w:val="003F5344"/>
    <w:rsid w:val="003F7EDC"/>
    <w:rsid w:val="00404548"/>
    <w:rsid w:val="0041162E"/>
    <w:rsid w:val="0042786D"/>
    <w:rsid w:val="00433C62"/>
    <w:rsid w:val="00434D01"/>
    <w:rsid w:val="00472EF5"/>
    <w:rsid w:val="0048687C"/>
    <w:rsid w:val="004A31B4"/>
    <w:rsid w:val="004A7BEB"/>
    <w:rsid w:val="004C1922"/>
    <w:rsid w:val="004C462F"/>
    <w:rsid w:val="004D49E9"/>
    <w:rsid w:val="005071DA"/>
    <w:rsid w:val="00512C02"/>
    <w:rsid w:val="00523D82"/>
    <w:rsid w:val="00535506"/>
    <w:rsid w:val="00541A00"/>
    <w:rsid w:val="005444B2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C4CEC"/>
    <w:rsid w:val="005D3A0E"/>
    <w:rsid w:val="005D68C6"/>
    <w:rsid w:val="005D7EE3"/>
    <w:rsid w:val="005E0488"/>
    <w:rsid w:val="005E50DE"/>
    <w:rsid w:val="005F7097"/>
    <w:rsid w:val="0060364A"/>
    <w:rsid w:val="0061650D"/>
    <w:rsid w:val="00617843"/>
    <w:rsid w:val="00620F34"/>
    <w:rsid w:val="006236DE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8640A"/>
    <w:rsid w:val="00691208"/>
    <w:rsid w:val="00693014"/>
    <w:rsid w:val="006A23C4"/>
    <w:rsid w:val="006A702E"/>
    <w:rsid w:val="006B7A90"/>
    <w:rsid w:val="006C27BC"/>
    <w:rsid w:val="006C577B"/>
    <w:rsid w:val="006C5F38"/>
    <w:rsid w:val="006C6558"/>
    <w:rsid w:val="006D7D5A"/>
    <w:rsid w:val="006E4305"/>
    <w:rsid w:val="006F5763"/>
    <w:rsid w:val="0070029F"/>
    <w:rsid w:val="00704BAB"/>
    <w:rsid w:val="007104D1"/>
    <w:rsid w:val="007135A6"/>
    <w:rsid w:val="00721555"/>
    <w:rsid w:val="00732F32"/>
    <w:rsid w:val="00733A73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5B48"/>
    <w:rsid w:val="007E702A"/>
    <w:rsid w:val="007F4663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55B65"/>
    <w:rsid w:val="0086657B"/>
    <w:rsid w:val="008832E5"/>
    <w:rsid w:val="00891711"/>
    <w:rsid w:val="00895766"/>
    <w:rsid w:val="00897669"/>
    <w:rsid w:val="008A38F8"/>
    <w:rsid w:val="008C0181"/>
    <w:rsid w:val="008D4451"/>
    <w:rsid w:val="008D62B7"/>
    <w:rsid w:val="008E6895"/>
    <w:rsid w:val="00900B3C"/>
    <w:rsid w:val="00904FB5"/>
    <w:rsid w:val="0091136C"/>
    <w:rsid w:val="009157ED"/>
    <w:rsid w:val="00930D7D"/>
    <w:rsid w:val="0094571C"/>
    <w:rsid w:val="0095047E"/>
    <w:rsid w:val="00951974"/>
    <w:rsid w:val="00956101"/>
    <w:rsid w:val="00962CD6"/>
    <w:rsid w:val="00987E9D"/>
    <w:rsid w:val="00993A60"/>
    <w:rsid w:val="00996F90"/>
    <w:rsid w:val="009976FA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603EA"/>
    <w:rsid w:val="00A649CB"/>
    <w:rsid w:val="00A8185B"/>
    <w:rsid w:val="00AA2013"/>
    <w:rsid w:val="00AA5E2F"/>
    <w:rsid w:val="00AA7317"/>
    <w:rsid w:val="00AB3DAE"/>
    <w:rsid w:val="00AC2C0B"/>
    <w:rsid w:val="00AC4905"/>
    <w:rsid w:val="00AD2CD6"/>
    <w:rsid w:val="00AE7922"/>
    <w:rsid w:val="00AF3C5C"/>
    <w:rsid w:val="00B01011"/>
    <w:rsid w:val="00B11878"/>
    <w:rsid w:val="00B46F30"/>
    <w:rsid w:val="00B608C1"/>
    <w:rsid w:val="00B60D3D"/>
    <w:rsid w:val="00B61D95"/>
    <w:rsid w:val="00B911FD"/>
    <w:rsid w:val="00B9187F"/>
    <w:rsid w:val="00BB3050"/>
    <w:rsid w:val="00BB7831"/>
    <w:rsid w:val="00BC31BC"/>
    <w:rsid w:val="00BC6167"/>
    <w:rsid w:val="00BC704A"/>
    <w:rsid w:val="00BE4435"/>
    <w:rsid w:val="00BE6B71"/>
    <w:rsid w:val="00C07BB3"/>
    <w:rsid w:val="00C2000E"/>
    <w:rsid w:val="00C379C9"/>
    <w:rsid w:val="00C422B8"/>
    <w:rsid w:val="00C448A5"/>
    <w:rsid w:val="00C566D6"/>
    <w:rsid w:val="00C834A2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354E"/>
    <w:rsid w:val="00D46B0B"/>
    <w:rsid w:val="00D55ED8"/>
    <w:rsid w:val="00D70DB6"/>
    <w:rsid w:val="00D76048"/>
    <w:rsid w:val="00D90FCC"/>
    <w:rsid w:val="00D93C80"/>
    <w:rsid w:val="00D96A8F"/>
    <w:rsid w:val="00DB406A"/>
    <w:rsid w:val="00DF11A7"/>
    <w:rsid w:val="00DF604B"/>
    <w:rsid w:val="00E03E8D"/>
    <w:rsid w:val="00E07B96"/>
    <w:rsid w:val="00E271CB"/>
    <w:rsid w:val="00E34FE3"/>
    <w:rsid w:val="00E45EEC"/>
    <w:rsid w:val="00E55D6C"/>
    <w:rsid w:val="00E57396"/>
    <w:rsid w:val="00E72DE8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F006F1"/>
    <w:rsid w:val="00F07B7B"/>
    <w:rsid w:val="00F23B95"/>
    <w:rsid w:val="00F40388"/>
    <w:rsid w:val="00F5383E"/>
    <w:rsid w:val="00F558B2"/>
    <w:rsid w:val="00F63389"/>
    <w:rsid w:val="00F8747E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E8860"/>
  <w15:docId w15:val="{BB2BDBC4-6C6A-4DEA-A8D4-B9804D0B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12">
    <w:name w:val="Обычный (веб)1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6">
    <w:name w:val="Body Text Indent"/>
    <w:basedOn w:val="a"/>
    <w:link w:val="a7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b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c">
    <w:name w:val="Subtitle"/>
    <w:basedOn w:val="a"/>
    <w:link w:val="ad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Подзаголовок Знак"/>
    <w:link w:val="ac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e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0">
    <w:name w:val="header"/>
    <w:basedOn w:val="a"/>
    <w:link w:val="af1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D275FC"/>
    <w:rPr>
      <w:lang w:val="ru-RU"/>
    </w:rPr>
  </w:style>
  <w:style w:type="paragraph" w:styleId="af2">
    <w:name w:val="foot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D275FC"/>
    <w:rPr>
      <w:lang w:val="ru-RU"/>
    </w:rPr>
  </w:style>
  <w:style w:type="paragraph" w:customStyle="1" w:styleId="15">
    <w:name w:val="Название1"/>
    <w:basedOn w:val="a"/>
    <w:next w:val="a"/>
    <w:link w:val="af4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4">
    <w:name w:val="Название Знак"/>
    <w:link w:val="15"/>
    <w:uiPriority w:val="10"/>
    <w:rsid w:val="00900B3C"/>
    <w:rPr>
      <w:rFonts w:ascii="Consolas" w:eastAsia="Consolas" w:hAnsi="Consolas" w:cs="Consolas"/>
    </w:rPr>
  </w:style>
  <w:style w:type="character" w:styleId="af5">
    <w:name w:val="annotation reference"/>
    <w:uiPriority w:val="99"/>
    <w:rsid w:val="007D0E84"/>
    <w:rPr>
      <w:sz w:val="16"/>
      <w:szCs w:val="16"/>
    </w:rPr>
  </w:style>
  <w:style w:type="paragraph" w:styleId="af6">
    <w:name w:val="annotation text"/>
    <w:basedOn w:val="a"/>
    <w:link w:val="af7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7">
    <w:name w:val="Текст примечания Знак"/>
    <w:link w:val="af6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011C8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belInstructions">
    <w:name w:val="Label Instructions"/>
    <w:rsid w:val="00011C8F"/>
    <w:rPr>
      <w:i/>
      <w:color w:val="0000FF"/>
    </w:rPr>
  </w:style>
  <w:style w:type="paragraph" w:customStyle="1" w:styleId="Style5">
    <w:name w:val="Style5"/>
    <w:basedOn w:val="a"/>
    <w:uiPriority w:val="99"/>
    <w:rsid w:val="008A38F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2F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D90FCC"/>
    <w:pPr>
      <w:spacing w:after="0" w:line="240" w:lineRule="auto"/>
      <w:ind w:right="-567" w:firstLine="454"/>
      <w:jc w:val="both"/>
    </w:pPr>
    <w:rPr>
      <w:rFonts w:ascii="Times New Roman" w:eastAsia="Times New Roman" w:hAnsi="Times New Roman"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cinnagen@cinnagen.com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nnagen@cinnagen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41F0-CAA6-470E-B4AB-C9468C6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3347</Words>
  <Characters>19078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22381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NF-Mgr4</cp:lastModifiedBy>
  <cp:revision>6</cp:revision>
  <cp:lastPrinted>2018-03-22T06:08:00Z</cp:lastPrinted>
  <dcterms:created xsi:type="dcterms:W3CDTF">2021-06-07T04:45:00Z</dcterms:created>
  <dcterms:modified xsi:type="dcterms:W3CDTF">2021-12-20T09:04:00Z</dcterms:modified>
</cp:coreProperties>
</file>